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69766" w14:textId="77777777" w:rsidR="00561476" w:rsidRPr="0019113B" w:rsidRDefault="009A3D09" w:rsidP="00561476">
      <w:pPr>
        <w:jc w:val="center"/>
        <w:rPr>
          <w:b/>
          <w:sz w:val="36"/>
          <w:szCs w:val="36"/>
        </w:rPr>
      </w:pPr>
      <w:r>
        <w:rPr>
          <w:b/>
          <w:noProof/>
          <w:sz w:val="36"/>
          <w:szCs w:val="36"/>
        </w:rPr>
        <w:drawing>
          <wp:inline distT="0" distB="0" distL="0" distR="0" wp14:anchorId="13DE1F23" wp14:editId="68A742AB">
            <wp:extent cx="3709035" cy="2375535"/>
            <wp:effectExtent l="0" t="0" r="0" b="0"/>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9035" cy="2375535"/>
                    </a:xfrm>
                    <a:prstGeom prst="rect">
                      <a:avLst/>
                    </a:prstGeom>
                    <a:noFill/>
                    <a:ln>
                      <a:noFill/>
                    </a:ln>
                  </pic:spPr>
                </pic:pic>
              </a:graphicData>
            </a:graphic>
          </wp:inline>
        </w:drawing>
      </w:r>
    </w:p>
    <w:p w14:paraId="197B0E15" w14:textId="77777777" w:rsidR="00561476" w:rsidRPr="0019113B" w:rsidRDefault="00561476" w:rsidP="00561476">
      <w:pPr>
        <w:jc w:val="center"/>
        <w:rPr>
          <w:b/>
          <w:sz w:val="36"/>
          <w:szCs w:val="36"/>
          <w:lang w:val="en-US"/>
        </w:rPr>
      </w:pPr>
    </w:p>
    <w:p w14:paraId="20D7EFEE" w14:textId="77777777" w:rsidR="000A4DD6" w:rsidRPr="0019113B" w:rsidRDefault="000A4DD6" w:rsidP="00561476">
      <w:pPr>
        <w:jc w:val="center"/>
        <w:rPr>
          <w:b/>
          <w:sz w:val="36"/>
          <w:szCs w:val="36"/>
          <w:lang w:val="en-US"/>
        </w:rPr>
      </w:pPr>
    </w:p>
    <w:p w14:paraId="171C4F10" w14:textId="77777777" w:rsidR="000A4DD6" w:rsidRPr="0019113B" w:rsidRDefault="000A4DD6" w:rsidP="00561476">
      <w:pPr>
        <w:jc w:val="center"/>
        <w:rPr>
          <w:b/>
          <w:sz w:val="36"/>
          <w:szCs w:val="36"/>
          <w:lang w:val="en-US"/>
        </w:rPr>
      </w:pPr>
    </w:p>
    <w:p w14:paraId="3411C4DF" w14:textId="77777777" w:rsidR="000A4DD6" w:rsidRPr="0019113B" w:rsidRDefault="000A4DD6" w:rsidP="00561476">
      <w:pPr>
        <w:jc w:val="center"/>
        <w:rPr>
          <w:b/>
          <w:sz w:val="36"/>
          <w:szCs w:val="36"/>
          <w:lang w:val="en-US"/>
        </w:rPr>
      </w:pPr>
    </w:p>
    <w:p w14:paraId="28BA715C" w14:textId="77777777" w:rsidR="00561476" w:rsidRPr="0019113B" w:rsidRDefault="00561476" w:rsidP="00561476">
      <w:pPr>
        <w:tabs>
          <w:tab w:val="left" w:pos="5204"/>
        </w:tabs>
        <w:jc w:val="left"/>
        <w:rPr>
          <w:b/>
          <w:sz w:val="36"/>
          <w:szCs w:val="36"/>
        </w:rPr>
      </w:pPr>
      <w:r w:rsidRPr="0019113B">
        <w:rPr>
          <w:b/>
          <w:sz w:val="36"/>
          <w:szCs w:val="36"/>
        </w:rPr>
        <w:tab/>
      </w:r>
    </w:p>
    <w:p w14:paraId="139BA1CE" w14:textId="77777777" w:rsidR="00561476" w:rsidRPr="0019113B" w:rsidRDefault="00561476" w:rsidP="00561476">
      <w:pPr>
        <w:jc w:val="center"/>
        <w:rPr>
          <w:b/>
          <w:sz w:val="36"/>
          <w:szCs w:val="36"/>
        </w:rPr>
      </w:pPr>
    </w:p>
    <w:p w14:paraId="549B04F8" w14:textId="77777777" w:rsidR="00561476" w:rsidRPr="0019113B" w:rsidRDefault="00CB76D2" w:rsidP="00561476">
      <w:pPr>
        <w:jc w:val="center"/>
        <w:rPr>
          <w:b/>
          <w:sz w:val="48"/>
          <w:szCs w:val="48"/>
        </w:rPr>
      </w:pPr>
      <w:bookmarkStart w:id="0" w:name="_Toc226196784"/>
      <w:bookmarkStart w:id="1" w:name="_Toc226197203"/>
      <w:r w:rsidRPr="0019113B">
        <w:rPr>
          <w:b/>
          <w:sz w:val="48"/>
          <w:szCs w:val="48"/>
        </w:rPr>
        <w:t>М</w:t>
      </w:r>
      <w:r w:rsidR="00561476" w:rsidRPr="0019113B">
        <w:rPr>
          <w:b/>
          <w:sz w:val="48"/>
          <w:szCs w:val="48"/>
        </w:rPr>
        <w:t>ониторинг СМИ</w:t>
      </w:r>
      <w:bookmarkEnd w:id="0"/>
      <w:bookmarkEnd w:id="1"/>
      <w:r w:rsidR="00561476" w:rsidRPr="0019113B">
        <w:rPr>
          <w:b/>
          <w:sz w:val="48"/>
          <w:szCs w:val="48"/>
        </w:rPr>
        <w:t xml:space="preserve"> РФ</w:t>
      </w:r>
    </w:p>
    <w:p w14:paraId="5A1A9394" w14:textId="77777777" w:rsidR="00561476" w:rsidRPr="0019113B" w:rsidRDefault="00561476" w:rsidP="00561476">
      <w:pPr>
        <w:jc w:val="center"/>
        <w:rPr>
          <w:b/>
          <w:sz w:val="48"/>
          <w:szCs w:val="48"/>
        </w:rPr>
      </w:pPr>
      <w:bookmarkStart w:id="2" w:name="_Toc226196785"/>
      <w:bookmarkStart w:id="3" w:name="_Toc226197204"/>
      <w:r w:rsidRPr="0019113B">
        <w:rPr>
          <w:b/>
          <w:sz w:val="48"/>
          <w:szCs w:val="48"/>
        </w:rPr>
        <w:t>по пенсионной тематике</w:t>
      </w:r>
      <w:bookmarkEnd w:id="2"/>
      <w:bookmarkEnd w:id="3"/>
    </w:p>
    <w:p w14:paraId="489C8DC6" w14:textId="77777777" w:rsidR="008B6D1B" w:rsidRPr="0019113B" w:rsidRDefault="008B6D1B" w:rsidP="00C70A20">
      <w:pPr>
        <w:jc w:val="center"/>
        <w:rPr>
          <w:b/>
          <w:sz w:val="48"/>
          <w:szCs w:val="48"/>
        </w:rPr>
      </w:pPr>
    </w:p>
    <w:p w14:paraId="38F7CC2E" w14:textId="77777777" w:rsidR="007D6FE5" w:rsidRPr="0019113B" w:rsidRDefault="007D6FE5" w:rsidP="00C70A20">
      <w:pPr>
        <w:jc w:val="center"/>
        <w:rPr>
          <w:b/>
          <w:sz w:val="36"/>
          <w:szCs w:val="36"/>
        </w:rPr>
      </w:pPr>
      <w:r w:rsidRPr="0019113B">
        <w:rPr>
          <w:b/>
          <w:sz w:val="36"/>
          <w:szCs w:val="36"/>
        </w:rPr>
        <w:t xml:space="preserve"> </w:t>
      </w:r>
    </w:p>
    <w:p w14:paraId="1560E618" w14:textId="77777777" w:rsidR="00C70A20" w:rsidRPr="0019113B" w:rsidRDefault="009F2296" w:rsidP="00C70A20">
      <w:pPr>
        <w:jc w:val="center"/>
        <w:rPr>
          <w:b/>
          <w:sz w:val="40"/>
          <w:szCs w:val="40"/>
        </w:rPr>
      </w:pPr>
      <w:r w:rsidRPr="0019113B">
        <w:rPr>
          <w:b/>
          <w:sz w:val="40"/>
          <w:szCs w:val="40"/>
          <w:lang w:val="en-US"/>
        </w:rPr>
        <w:t>2</w:t>
      </w:r>
      <w:r w:rsidR="000D04C3" w:rsidRPr="0019113B">
        <w:rPr>
          <w:b/>
          <w:sz w:val="40"/>
          <w:szCs w:val="40"/>
          <w:lang w:val="en-US"/>
        </w:rPr>
        <w:t>7</w:t>
      </w:r>
      <w:r w:rsidR="00CB6B64" w:rsidRPr="0019113B">
        <w:rPr>
          <w:b/>
          <w:sz w:val="40"/>
          <w:szCs w:val="40"/>
        </w:rPr>
        <w:t>.</w:t>
      </w:r>
      <w:r w:rsidR="00C8666E" w:rsidRPr="0019113B">
        <w:rPr>
          <w:b/>
          <w:sz w:val="40"/>
          <w:szCs w:val="40"/>
          <w:lang w:val="en-US"/>
        </w:rPr>
        <w:t>0</w:t>
      </w:r>
      <w:r w:rsidR="00C02733" w:rsidRPr="0019113B">
        <w:rPr>
          <w:b/>
          <w:sz w:val="40"/>
          <w:szCs w:val="40"/>
          <w:lang w:val="en-US"/>
        </w:rPr>
        <w:t>6</w:t>
      </w:r>
      <w:r w:rsidR="000214CF" w:rsidRPr="0019113B">
        <w:rPr>
          <w:b/>
          <w:sz w:val="40"/>
          <w:szCs w:val="40"/>
        </w:rPr>
        <w:t>.</w:t>
      </w:r>
      <w:r w:rsidR="007D6FE5" w:rsidRPr="0019113B">
        <w:rPr>
          <w:b/>
          <w:sz w:val="40"/>
          <w:szCs w:val="40"/>
        </w:rPr>
        <w:t>20</w:t>
      </w:r>
      <w:r w:rsidR="00EB57E7" w:rsidRPr="0019113B">
        <w:rPr>
          <w:b/>
          <w:sz w:val="40"/>
          <w:szCs w:val="40"/>
        </w:rPr>
        <w:t>2</w:t>
      </w:r>
      <w:r w:rsidR="00C8666E" w:rsidRPr="0019113B">
        <w:rPr>
          <w:b/>
          <w:sz w:val="40"/>
          <w:szCs w:val="40"/>
          <w:lang w:val="en-US"/>
        </w:rPr>
        <w:t>5</w:t>
      </w:r>
      <w:r w:rsidR="00C70A20" w:rsidRPr="0019113B">
        <w:rPr>
          <w:b/>
          <w:sz w:val="40"/>
          <w:szCs w:val="40"/>
        </w:rPr>
        <w:t xml:space="preserve"> г</w:t>
      </w:r>
      <w:r w:rsidR="007D6FE5" w:rsidRPr="0019113B">
        <w:rPr>
          <w:b/>
          <w:sz w:val="40"/>
          <w:szCs w:val="40"/>
        </w:rPr>
        <w:t>.</w:t>
      </w:r>
    </w:p>
    <w:p w14:paraId="4167D0FB" w14:textId="77777777" w:rsidR="007D6FE5" w:rsidRPr="0019113B" w:rsidRDefault="007D6FE5" w:rsidP="000C1A46">
      <w:pPr>
        <w:jc w:val="center"/>
        <w:rPr>
          <w:b/>
          <w:sz w:val="40"/>
          <w:szCs w:val="40"/>
        </w:rPr>
      </w:pPr>
    </w:p>
    <w:p w14:paraId="46C8F1BE" w14:textId="77777777" w:rsidR="00C16C6D" w:rsidRPr="0019113B" w:rsidRDefault="00C16C6D" w:rsidP="000C1A46">
      <w:pPr>
        <w:jc w:val="center"/>
        <w:rPr>
          <w:b/>
          <w:sz w:val="40"/>
          <w:szCs w:val="40"/>
        </w:rPr>
      </w:pPr>
    </w:p>
    <w:p w14:paraId="25EEE795" w14:textId="77777777" w:rsidR="00C70A20" w:rsidRPr="0019113B" w:rsidRDefault="00C70A20" w:rsidP="000C1A46">
      <w:pPr>
        <w:jc w:val="center"/>
        <w:rPr>
          <w:b/>
          <w:sz w:val="40"/>
          <w:szCs w:val="40"/>
        </w:rPr>
      </w:pPr>
    </w:p>
    <w:p w14:paraId="593705A3" w14:textId="77777777" w:rsidR="00C70A20" w:rsidRPr="0019113B" w:rsidRDefault="00C70A20" w:rsidP="000C1A46">
      <w:pPr>
        <w:jc w:val="center"/>
      </w:pPr>
    </w:p>
    <w:p w14:paraId="2EE01522" w14:textId="77777777" w:rsidR="00CB76D2" w:rsidRPr="0019113B" w:rsidRDefault="00CB76D2" w:rsidP="000C1A46">
      <w:pPr>
        <w:jc w:val="center"/>
        <w:rPr>
          <w:b/>
          <w:sz w:val="40"/>
          <w:szCs w:val="40"/>
        </w:rPr>
      </w:pPr>
    </w:p>
    <w:p w14:paraId="659787CD" w14:textId="77777777" w:rsidR="009D66A1" w:rsidRPr="0019113B" w:rsidRDefault="009B23FE" w:rsidP="009B23FE">
      <w:pPr>
        <w:pStyle w:val="10"/>
        <w:jc w:val="center"/>
      </w:pPr>
      <w:r w:rsidRPr="0019113B">
        <w:br w:type="page"/>
      </w:r>
      <w:bookmarkStart w:id="4" w:name="_Toc396864626"/>
      <w:bookmarkStart w:id="5" w:name="_Toc201901884"/>
      <w:r w:rsidR="009D79CC" w:rsidRPr="0019113B">
        <w:lastRenderedPageBreak/>
        <w:t>Те</w:t>
      </w:r>
      <w:r w:rsidR="009D66A1" w:rsidRPr="0019113B">
        <w:t>мы</w:t>
      </w:r>
      <w:r w:rsidR="009D66A1" w:rsidRPr="0019113B">
        <w:rPr>
          <w:rFonts w:ascii="Arial Rounded MT Bold" w:hAnsi="Arial Rounded MT Bold"/>
        </w:rPr>
        <w:t xml:space="preserve"> </w:t>
      </w:r>
      <w:r w:rsidR="009D66A1" w:rsidRPr="0019113B">
        <w:t>дня</w:t>
      </w:r>
      <w:bookmarkEnd w:id="4"/>
      <w:bookmarkEnd w:id="5"/>
    </w:p>
    <w:p w14:paraId="0141A422" w14:textId="77777777" w:rsidR="00A1463C" w:rsidRPr="0019113B" w:rsidRDefault="00C9116A" w:rsidP="00676D5F">
      <w:pPr>
        <w:numPr>
          <w:ilvl w:val="0"/>
          <w:numId w:val="25"/>
        </w:numPr>
        <w:rPr>
          <w:i/>
        </w:rPr>
      </w:pPr>
      <w:r w:rsidRPr="0019113B">
        <w:rPr>
          <w:i/>
        </w:rPr>
        <w:t xml:space="preserve">Самую высокую доходность негосударственной пенсии за январь — март показал пенсионный фонд «Профессиональный» — 30,26 %. По части пенсионных накоплений (ОПС, накопительная часть пенсии) лидером стал НПФ «Альянс», показавший прибыльность 28,12 %, сообщил Банк России. По итогам января — марта официальная инфляция в России составила 10,3 %. Не смогли ее обыграть по части негосударственной пенсии только четыре фонда — НПФ «ВЭФ. Жизнь» (6,75 %), НПФ Совкомбанка (6,39 %), НПФ «Пенсионные решения» (5,15 %) и НПФ «ВЭФ. Русские фонды» (3,35 %), </w:t>
      </w:r>
      <w:hyperlink w:anchor="a1" w:history="1">
        <w:r w:rsidRPr="0019113B">
          <w:rPr>
            <w:rStyle w:val="a3"/>
            <w:i/>
          </w:rPr>
          <w:t>передает «Пенсия.pro»</w:t>
        </w:r>
      </w:hyperlink>
    </w:p>
    <w:p w14:paraId="4E426BF7" w14:textId="77777777" w:rsidR="00C9116A" w:rsidRPr="0019113B" w:rsidRDefault="00C9116A" w:rsidP="00676D5F">
      <w:pPr>
        <w:numPr>
          <w:ilvl w:val="0"/>
          <w:numId w:val="25"/>
        </w:numPr>
        <w:rPr>
          <w:i/>
        </w:rPr>
      </w:pPr>
      <w:r w:rsidRPr="0019113B">
        <w:rPr>
          <w:i/>
        </w:rPr>
        <w:t xml:space="preserve">За январь - март негосударственные пенсионные фонды накопили 24,8 млрд доходов от инвестиционной и финансовой деятельности, сообщил Банк России. Процентные доходы составили почти 166 млрд рублей, однако по некоторым направлениям зафиксирован убыток, в результате чего итоговый инвестдоход оказался значительно меньше. Например, 19 млрд рублей потеряно из-за операций с иностранной валютой, уточнил ЦБ. Итоговая прибыль всех российских НПФ после налогообложения по итогам первого квартала составила 68,3 млрд рублей, совокупный доход - 166,5 млрд, </w:t>
      </w:r>
      <w:hyperlink w:anchor="a2" w:history="1">
        <w:r w:rsidRPr="0019113B">
          <w:rPr>
            <w:rStyle w:val="a3"/>
            <w:i/>
          </w:rPr>
          <w:t>сообщает «Пенсия.pro»</w:t>
        </w:r>
      </w:hyperlink>
    </w:p>
    <w:p w14:paraId="6534C4BC" w14:textId="77777777" w:rsidR="00C9116A" w:rsidRPr="0019113B" w:rsidRDefault="00C9116A" w:rsidP="00676D5F">
      <w:pPr>
        <w:numPr>
          <w:ilvl w:val="0"/>
          <w:numId w:val="25"/>
        </w:numPr>
        <w:rPr>
          <w:i/>
        </w:rPr>
      </w:pPr>
      <w:r w:rsidRPr="0019113B">
        <w:rPr>
          <w:i/>
        </w:rPr>
        <w:t xml:space="preserve">Количество пользователей сервиса «Личный кабинет» в НПФ «БЛАГОСОСТОЯНИЕ» достигло 480 тысяч физических лиц. Это клиенты фонда по корпоративным и индивидуальным пенсионным программам, граждане, передавшие фонду управление накопительной частью пенсии по ОПС и заключившие договоры долгосрочных сбережений, а также пенсионеры, уже получающие выплаты от фонда, </w:t>
      </w:r>
      <w:hyperlink w:anchor="a3" w:history="1">
        <w:r w:rsidRPr="0019113B">
          <w:rPr>
            <w:rStyle w:val="a3"/>
            <w:i/>
          </w:rPr>
          <w:t>передает AK&amp;M</w:t>
        </w:r>
      </w:hyperlink>
    </w:p>
    <w:p w14:paraId="346C5C14" w14:textId="77777777" w:rsidR="00C9116A" w:rsidRPr="0019113B" w:rsidRDefault="00C9116A" w:rsidP="00676D5F">
      <w:pPr>
        <w:numPr>
          <w:ilvl w:val="0"/>
          <w:numId w:val="25"/>
        </w:numPr>
        <w:rPr>
          <w:i/>
        </w:rPr>
      </w:pPr>
      <w:r w:rsidRPr="0019113B">
        <w:rPr>
          <w:i/>
        </w:rPr>
        <w:t xml:space="preserve">У думцев и ряда финансистов родилась мысль (ее обсуждали, в том числе на недавнем ПМЭФ) автоматически перевести пенсионные накопления россиян в программу долгосрочных сбережений (ПДС). Минфин и ЦБ готовы идею рассмотреть. Это значит, могут одобрить. Сама эта идея как-то «пристроить» «долгие деньги» граждан неустанно и давно греет душу и будоражит мысль правительственных чиновников. Да и граждане тем самым смогут как-то улучшить свое пенсионное обеспечение в будущем, </w:t>
      </w:r>
      <w:hyperlink w:anchor="a4" w:history="1">
        <w:r w:rsidRPr="0019113B">
          <w:rPr>
            <w:rStyle w:val="a3"/>
            <w:i/>
          </w:rPr>
          <w:t>пишет «АиФ»</w:t>
        </w:r>
      </w:hyperlink>
    </w:p>
    <w:p w14:paraId="3C1547CD" w14:textId="77777777" w:rsidR="00C9116A" w:rsidRPr="0019113B" w:rsidRDefault="00C9116A" w:rsidP="00676D5F">
      <w:pPr>
        <w:numPr>
          <w:ilvl w:val="0"/>
          <w:numId w:val="25"/>
        </w:numPr>
        <w:rPr>
          <w:i/>
        </w:rPr>
      </w:pPr>
      <w:r w:rsidRPr="0019113B">
        <w:rPr>
          <w:i/>
        </w:rPr>
        <w:t xml:space="preserve">33 % россиян, знакомых с разнообразными финансовыми инструментами, не вступили в программу долгосрочных сбережений и не хотят этого делать. Таковые результаты опроса, проведенного в телеграм-канале инвестора Киры Юхтенко с 60 тысячами подписчиков. 15 % респондентов сейчас являются участниками ПДС, 30 % аудитории не знает, что это такое. Каждый пятый еще не определился, стоит ли связываться с программой, </w:t>
      </w:r>
      <w:hyperlink w:anchor="a5" w:history="1">
        <w:r w:rsidRPr="0019113B">
          <w:rPr>
            <w:rStyle w:val="a3"/>
            <w:i/>
          </w:rPr>
          <w:t>сообщает «Пенсия.pro»</w:t>
        </w:r>
      </w:hyperlink>
    </w:p>
    <w:p w14:paraId="177069D4" w14:textId="77777777" w:rsidR="00480865" w:rsidRPr="0019113B" w:rsidRDefault="00480865" w:rsidP="00676D5F">
      <w:pPr>
        <w:numPr>
          <w:ilvl w:val="0"/>
          <w:numId w:val="25"/>
        </w:numPr>
        <w:rPr>
          <w:i/>
        </w:rPr>
      </w:pPr>
      <w:r w:rsidRPr="0019113B">
        <w:rPr>
          <w:i/>
        </w:rPr>
        <w:t xml:space="preserve">С начала 2024 года жители Кубани направили более 7 млрд руб. в новую государственную программу долгосрочных сбережений. Инициатива предусматривает налоговые льготы и софинансирование со стороны государства, что делает ее привлекательной для граждан, стремящихся обеспечить финансовую подушку на будущее. Об этом сообщает пресс-служба администрации Краснодарского края, </w:t>
      </w:r>
      <w:hyperlink w:anchor="a6" w:history="1">
        <w:r w:rsidRPr="0019113B">
          <w:rPr>
            <w:rStyle w:val="a3"/>
            <w:i/>
          </w:rPr>
          <w:t>передает «РБК Краснодар»</w:t>
        </w:r>
      </w:hyperlink>
    </w:p>
    <w:p w14:paraId="4E98A223" w14:textId="77777777" w:rsidR="00C9116A" w:rsidRPr="0019113B" w:rsidRDefault="00480865" w:rsidP="00676D5F">
      <w:pPr>
        <w:numPr>
          <w:ilvl w:val="0"/>
          <w:numId w:val="25"/>
        </w:numPr>
        <w:rPr>
          <w:i/>
        </w:rPr>
      </w:pPr>
      <w:r w:rsidRPr="0019113B">
        <w:rPr>
          <w:i/>
        </w:rPr>
        <w:lastRenderedPageBreak/>
        <w:t xml:space="preserve">Страховой стаж с учетом всех детей пересчитают почти 400 тысячам россиянок, сообщил председатель Социального фонда Сергей Чирков в интервью СМИ. Это увеличит пенсионные выплаты матерям, имеющим пять и более детей. Нововведения коснутся и тех, кто уже вышел на пенсию. </w:t>
      </w:r>
      <w:hyperlink w:anchor="a7" w:history="1">
        <w:r w:rsidRPr="0019113B">
          <w:rPr>
            <w:rStyle w:val="a3"/>
            <w:i/>
          </w:rPr>
          <w:t>«Парламентская газета» — с подробностями</w:t>
        </w:r>
      </w:hyperlink>
    </w:p>
    <w:p w14:paraId="5090F46D" w14:textId="77777777" w:rsidR="00940029" w:rsidRPr="0019113B" w:rsidRDefault="009D79CC" w:rsidP="00940029">
      <w:pPr>
        <w:pStyle w:val="10"/>
        <w:jc w:val="center"/>
      </w:pPr>
      <w:bookmarkStart w:id="6" w:name="_Toc173015209"/>
      <w:bookmarkStart w:id="7" w:name="_Toc201901885"/>
      <w:r w:rsidRPr="0019113B">
        <w:t>Ци</w:t>
      </w:r>
      <w:r w:rsidR="00940029" w:rsidRPr="0019113B">
        <w:t>таты дня</w:t>
      </w:r>
      <w:bookmarkEnd w:id="6"/>
      <w:bookmarkEnd w:id="7"/>
    </w:p>
    <w:p w14:paraId="63FDE006" w14:textId="77777777" w:rsidR="00480865" w:rsidRPr="0019113B" w:rsidRDefault="00480865" w:rsidP="003B3BAA">
      <w:pPr>
        <w:numPr>
          <w:ilvl w:val="0"/>
          <w:numId w:val="27"/>
        </w:numPr>
        <w:rPr>
          <w:i/>
        </w:rPr>
      </w:pPr>
      <w:r w:rsidRPr="0019113B">
        <w:rPr>
          <w:i/>
        </w:rPr>
        <w:t>Заместитель министра финансов РФ Иван Чебесков заявил, что работодатели, предлагающие программу [долгосрочных сбережений], входят в так называемый «клуб приличных». Это становится маркером качества и заботы о сотрудниках, уверен замминистра. «За полтора года работы в России заключено уже более 5 миллионов договоров по программе долгосрочных сбережений. Это говорит о значительном интересе граждан и открывает новые горизонты для негосударственных пенсионных фондов»</w:t>
      </w:r>
    </w:p>
    <w:p w14:paraId="1D882BA3" w14:textId="77777777" w:rsidR="00676D5F" w:rsidRPr="0019113B" w:rsidRDefault="00C9116A" w:rsidP="003B3BAA">
      <w:pPr>
        <w:numPr>
          <w:ilvl w:val="0"/>
          <w:numId w:val="27"/>
        </w:numPr>
        <w:rPr>
          <w:i/>
        </w:rPr>
      </w:pPr>
      <w:r w:rsidRPr="0019113B">
        <w:rPr>
          <w:i/>
        </w:rPr>
        <w:t>Максим Элик, первый заместитель генерального директора НПФ «БЛАГОСОСТОЯНИЕ»: «С начала прошлого года количество пользователей онлайн-сервиса «Личный кабинет» увеличилось примерно наполовину. Рост обусловлен в том числе активизацией работы фонда по новому продукту - программе долгосрочных сбережений, а также расширению клиентской базы по обязательному пенсионному страхованию. Востребованность онлайн-услуг растет, и мы работаем над тем, чтобы в скором времени предложить клиентам новые удобные мобильные способы обслуживания в нашем фонде»</w:t>
      </w:r>
    </w:p>
    <w:p w14:paraId="0BFEBD72" w14:textId="77777777" w:rsidR="00480865" w:rsidRPr="0019113B" w:rsidRDefault="00480865" w:rsidP="003B3BAA">
      <w:pPr>
        <w:numPr>
          <w:ilvl w:val="0"/>
          <w:numId w:val="27"/>
        </w:numPr>
        <w:rPr>
          <w:i/>
        </w:rPr>
      </w:pPr>
      <w:r w:rsidRPr="0019113B">
        <w:rPr>
          <w:i/>
        </w:rPr>
        <w:t>Алексей Юртаев, министр экономики Краснодарского края: «Мы видим положительную динамику в количестве заключаемых договоров, что свидетельствует о том, что люди начинают осознавать важность планирования своих финансов. На данный момент в крае заключено более 179 тысяч договоров по программе ПДС. Высокая активность кубанцев обусловлена не только развитой инфраструктурой финансовых услуг в регионе, но и эффективной информационной кампанией о преимуществах ПДС»</w:t>
      </w:r>
    </w:p>
    <w:p w14:paraId="46B67EDA" w14:textId="77777777" w:rsidR="00A0290C" w:rsidRPr="0019113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19113B">
        <w:rPr>
          <w:u w:val="single"/>
        </w:rPr>
        <w:lastRenderedPageBreak/>
        <w:t>ОГЛАВЛЕНИЕ</w:t>
      </w:r>
    </w:p>
    <w:p w14:paraId="63B6804C" w14:textId="03F0BC87" w:rsidR="00776CBF" w:rsidRDefault="008F4FE7">
      <w:pPr>
        <w:pStyle w:val="12"/>
        <w:tabs>
          <w:tab w:val="right" w:leader="dot" w:pos="9061"/>
        </w:tabs>
        <w:rPr>
          <w:rFonts w:asciiTheme="minorHAnsi" w:eastAsiaTheme="minorEastAsia" w:hAnsiTheme="minorHAnsi" w:cstheme="minorBidi"/>
          <w:b w:val="0"/>
          <w:noProof/>
          <w:kern w:val="2"/>
          <w:sz w:val="24"/>
          <w14:ligatures w14:val="standardContextual"/>
        </w:rPr>
      </w:pPr>
      <w:r w:rsidRPr="0019113B">
        <w:rPr>
          <w:caps/>
        </w:rPr>
        <w:fldChar w:fldCharType="begin"/>
      </w:r>
      <w:r w:rsidR="00310633" w:rsidRPr="0019113B">
        <w:rPr>
          <w:caps/>
        </w:rPr>
        <w:instrText xml:space="preserve"> TOC \o "1-5" \h \z \u </w:instrText>
      </w:r>
      <w:r w:rsidRPr="0019113B">
        <w:rPr>
          <w:caps/>
        </w:rPr>
        <w:fldChar w:fldCharType="separate"/>
      </w:r>
      <w:hyperlink w:anchor="_Toc201901884" w:history="1">
        <w:r w:rsidR="00776CBF" w:rsidRPr="00B30F81">
          <w:rPr>
            <w:rStyle w:val="a3"/>
            <w:noProof/>
          </w:rPr>
          <w:t>Темы</w:t>
        </w:r>
        <w:r w:rsidR="00776CBF" w:rsidRPr="00B30F81">
          <w:rPr>
            <w:rStyle w:val="a3"/>
            <w:rFonts w:ascii="Arial Rounded MT Bold" w:hAnsi="Arial Rounded MT Bold"/>
            <w:noProof/>
          </w:rPr>
          <w:t xml:space="preserve"> </w:t>
        </w:r>
        <w:r w:rsidR="00776CBF" w:rsidRPr="00B30F81">
          <w:rPr>
            <w:rStyle w:val="a3"/>
            <w:noProof/>
          </w:rPr>
          <w:t>дня</w:t>
        </w:r>
        <w:r w:rsidR="00776CBF">
          <w:rPr>
            <w:noProof/>
            <w:webHidden/>
          </w:rPr>
          <w:tab/>
        </w:r>
        <w:r w:rsidR="00776CBF">
          <w:rPr>
            <w:noProof/>
            <w:webHidden/>
          </w:rPr>
          <w:fldChar w:fldCharType="begin"/>
        </w:r>
        <w:r w:rsidR="00776CBF">
          <w:rPr>
            <w:noProof/>
            <w:webHidden/>
          </w:rPr>
          <w:instrText xml:space="preserve"> PAGEREF _Toc201901884 \h </w:instrText>
        </w:r>
        <w:r w:rsidR="00776CBF">
          <w:rPr>
            <w:noProof/>
            <w:webHidden/>
          </w:rPr>
        </w:r>
        <w:r w:rsidR="00776CBF">
          <w:rPr>
            <w:noProof/>
            <w:webHidden/>
          </w:rPr>
          <w:fldChar w:fldCharType="separate"/>
        </w:r>
        <w:r w:rsidR="008E3E95">
          <w:rPr>
            <w:noProof/>
            <w:webHidden/>
          </w:rPr>
          <w:t>2</w:t>
        </w:r>
        <w:r w:rsidR="00776CBF">
          <w:rPr>
            <w:noProof/>
            <w:webHidden/>
          </w:rPr>
          <w:fldChar w:fldCharType="end"/>
        </w:r>
      </w:hyperlink>
    </w:p>
    <w:p w14:paraId="6B64BF9E" w14:textId="062847EC" w:rsidR="00776CBF" w:rsidRDefault="00776CB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901885" w:history="1">
        <w:r w:rsidRPr="00B30F81">
          <w:rPr>
            <w:rStyle w:val="a3"/>
            <w:noProof/>
          </w:rPr>
          <w:t>Цитаты дня</w:t>
        </w:r>
        <w:r>
          <w:rPr>
            <w:noProof/>
            <w:webHidden/>
          </w:rPr>
          <w:tab/>
        </w:r>
        <w:r>
          <w:rPr>
            <w:noProof/>
            <w:webHidden/>
          </w:rPr>
          <w:fldChar w:fldCharType="begin"/>
        </w:r>
        <w:r>
          <w:rPr>
            <w:noProof/>
            <w:webHidden/>
          </w:rPr>
          <w:instrText xml:space="preserve"> PAGEREF _Toc201901885 \h </w:instrText>
        </w:r>
        <w:r>
          <w:rPr>
            <w:noProof/>
            <w:webHidden/>
          </w:rPr>
        </w:r>
        <w:r>
          <w:rPr>
            <w:noProof/>
            <w:webHidden/>
          </w:rPr>
          <w:fldChar w:fldCharType="separate"/>
        </w:r>
        <w:r w:rsidR="008E3E95">
          <w:rPr>
            <w:noProof/>
            <w:webHidden/>
          </w:rPr>
          <w:t>3</w:t>
        </w:r>
        <w:r>
          <w:rPr>
            <w:noProof/>
            <w:webHidden/>
          </w:rPr>
          <w:fldChar w:fldCharType="end"/>
        </w:r>
      </w:hyperlink>
    </w:p>
    <w:p w14:paraId="131812B4" w14:textId="298BF03F" w:rsidR="00776CBF" w:rsidRDefault="00776CB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901886" w:history="1">
        <w:r w:rsidRPr="00B30F81">
          <w:rPr>
            <w:rStyle w:val="a3"/>
            <w:noProof/>
          </w:rPr>
          <w:t>НОВОСТИ ПЕНСИОННОЙ ОТРАСЛИ</w:t>
        </w:r>
        <w:r>
          <w:rPr>
            <w:noProof/>
            <w:webHidden/>
          </w:rPr>
          <w:tab/>
        </w:r>
        <w:r>
          <w:rPr>
            <w:noProof/>
            <w:webHidden/>
          </w:rPr>
          <w:fldChar w:fldCharType="begin"/>
        </w:r>
        <w:r>
          <w:rPr>
            <w:noProof/>
            <w:webHidden/>
          </w:rPr>
          <w:instrText xml:space="preserve"> PAGEREF _Toc201901886 \h </w:instrText>
        </w:r>
        <w:r>
          <w:rPr>
            <w:noProof/>
            <w:webHidden/>
          </w:rPr>
        </w:r>
        <w:r>
          <w:rPr>
            <w:noProof/>
            <w:webHidden/>
          </w:rPr>
          <w:fldChar w:fldCharType="separate"/>
        </w:r>
        <w:r w:rsidR="008E3E95">
          <w:rPr>
            <w:noProof/>
            <w:webHidden/>
          </w:rPr>
          <w:t>15</w:t>
        </w:r>
        <w:r>
          <w:rPr>
            <w:noProof/>
            <w:webHidden/>
          </w:rPr>
          <w:fldChar w:fldCharType="end"/>
        </w:r>
      </w:hyperlink>
    </w:p>
    <w:p w14:paraId="1D923213" w14:textId="3F24F090" w:rsidR="00776CBF" w:rsidRDefault="00776CB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901887" w:history="1">
        <w:r w:rsidRPr="00B30F81">
          <w:rPr>
            <w:rStyle w:val="a3"/>
            <w:noProof/>
          </w:rPr>
          <w:t>Новости отрасли НПФ</w:t>
        </w:r>
        <w:r>
          <w:rPr>
            <w:noProof/>
            <w:webHidden/>
          </w:rPr>
          <w:tab/>
        </w:r>
        <w:r>
          <w:rPr>
            <w:noProof/>
            <w:webHidden/>
          </w:rPr>
          <w:fldChar w:fldCharType="begin"/>
        </w:r>
        <w:r>
          <w:rPr>
            <w:noProof/>
            <w:webHidden/>
          </w:rPr>
          <w:instrText xml:space="preserve"> PAGEREF _Toc201901887 \h </w:instrText>
        </w:r>
        <w:r>
          <w:rPr>
            <w:noProof/>
            <w:webHidden/>
          </w:rPr>
        </w:r>
        <w:r>
          <w:rPr>
            <w:noProof/>
            <w:webHidden/>
          </w:rPr>
          <w:fldChar w:fldCharType="separate"/>
        </w:r>
        <w:r w:rsidR="008E3E95">
          <w:rPr>
            <w:noProof/>
            <w:webHidden/>
          </w:rPr>
          <w:t>15</w:t>
        </w:r>
        <w:r>
          <w:rPr>
            <w:noProof/>
            <w:webHidden/>
          </w:rPr>
          <w:fldChar w:fldCharType="end"/>
        </w:r>
      </w:hyperlink>
    </w:p>
    <w:p w14:paraId="0C97BC9A" w14:textId="7C698C37"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888" w:history="1">
        <w:r w:rsidRPr="00B30F81">
          <w:rPr>
            <w:rStyle w:val="a3"/>
            <w:noProof/>
          </w:rPr>
          <w:t>Пенсия.pro, 26.06.2025, Стали известны самые доходные НПФ начала 2025 года</w:t>
        </w:r>
        <w:r>
          <w:rPr>
            <w:noProof/>
            <w:webHidden/>
          </w:rPr>
          <w:tab/>
        </w:r>
        <w:r>
          <w:rPr>
            <w:noProof/>
            <w:webHidden/>
          </w:rPr>
          <w:fldChar w:fldCharType="begin"/>
        </w:r>
        <w:r>
          <w:rPr>
            <w:noProof/>
            <w:webHidden/>
          </w:rPr>
          <w:instrText xml:space="preserve"> PAGEREF _Toc201901888 \h </w:instrText>
        </w:r>
        <w:r>
          <w:rPr>
            <w:noProof/>
            <w:webHidden/>
          </w:rPr>
        </w:r>
        <w:r>
          <w:rPr>
            <w:noProof/>
            <w:webHidden/>
          </w:rPr>
          <w:fldChar w:fldCharType="separate"/>
        </w:r>
        <w:r w:rsidR="008E3E95">
          <w:rPr>
            <w:noProof/>
            <w:webHidden/>
          </w:rPr>
          <w:t>15</w:t>
        </w:r>
        <w:r>
          <w:rPr>
            <w:noProof/>
            <w:webHidden/>
          </w:rPr>
          <w:fldChar w:fldCharType="end"/>
        </w:r>
      </w:hyperlink>
    </w:p>
    <w:p w14:paraId="342B0E2D" w14:textId="281D901E" w:rsidR="00776CBF" w:rsidRDefault="00776CBF">
      <w:pPr>
        <w:pStyle w:val="31"/>
        <w:rPr>
          <w:rFonts w:asciiTheme="minorHAnsi" w:eastAsiaTheme="minorEastAsia" w:hAnsiTheme="minorHAnsi" w:cstheme="minorBidi"/>
          <w:kern w:val="2"/>
          <w14:ligatures w14:val="standardContextual"/>
        </w:rPr>
      </w:pPr>
      <w:hyperlink w:anchor="_Toc201901889" w:history="1">
        <w:r w:rsidRPr="00B30F81">
          <w:rPr>
            <w:rStyle w:val="a3"/>
          </w:rPr>
          <w:t>Самую высокую доходность негосударственной пенсии за январь — март показал пенсионный фонд «Профессиональный» — 30,26 %. По части пенсионных накоплений (ОПС, накопительная часть пенсии) лидером стал НПФ «Альянс», показавший прибыльность 28,12 %, сообщил Банк России.</w:t>
        </w:r>
        <w:r>
          <w:rPr>
            <w:webHidden/>
          </w:rPr>
          <w:tab/>
        </w:r>
        <w:r>
          <w:rPr>
            <w:webHidden/>
          </w:rPr>
          <w:fldChar w:fldCharType="begin"/>
        </w:r>
        <w:r>
          <w:rPr>
            <w:webHidden/>
          </w:rPr>
          <w:instrText xml:space="preserve"> PAGEREF _Toc201901889 \h </w:instrText>
        </w:r>
        <w:r>
          <w:rPr>
            <w:webHidden/>
          </w:rPr>
        </w:r>
        <w:r>
          <w:rPr>
            <w:webHidden/>
          </w:rPr>
          <w:fldChar w:fldCharType="separate"/>
        </w:r>
        <w:r w:rsidR="008E3E95">
          <w:rPr>
            <w:webHidden/>
          </w:rPr>
          <w:t>15</w:t>
        </w:r>
        <w:r>
          <w:rPr>
            <w:webHidden/>
          </w:rPr>
          <w:fldChar w:fldCharType="end"/>
        </w:r>
      </w:hyperlink>
    </w:p>
    <w:p w14:paraId="72CBB0F5" w14:textId="41B69E41"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890" w:history="1">
        <w:r w:rsidRPr="00B30F81">
          <w:rPr>
            <w:rStyle w:val="a3"/>
            <w:noProof/>
          </w:rPr>
          <w:t>Пенсия.pro, 26.06.2025, НПФ накопили более 24 млрд рублей инвестиционного дохода - Центробанк</w:t>
        </w:r>
        <w:r>
          <w:rPr>
            <w:noProof/>
            <w:webHidden/>
          </w:rPr>
          <w:tab/>
        </w:r>
        <w:r>
          <w:rPr>
            <w:noProof/>
            <w:webHidden/>
          </w:rPr>
          <w:fldChar w:fldCharType="begin"/>
        </w:r>
        <w:r>
          <w:rPr>
            <w:noProof/>
            <w:webHidden/>
          </w:rPr>
          <w:instrText xml:space="preserve"> PAGEREF _Toc201901890 \h </w:instrText>
        </w:r>
        <w:r>
          <w:rPr>
            <w:noProof/>
            <w:webHidden/>
          </w:rPr>
        </w:r>
        <w:r>
          <w:rPr>
            <w:noProof/>
            <w:webHidden/>
          </w:rPr>
          <w:fldChar w:fldCharType="separate"/>
        </w:r>
        <w:r w:rsidR="008E3E95">
          <w:rPr>
            <w:noProof/>
            <w:webHidden/>
          </w:rPr>
          <w:t>16</w:t>
        </w:r>
        <w:r>
          <w:rPr>
            <w:noProof/>
            <w:webHidden/>
          </w:rPr>
          <w:fldChar w:fldCharType="end"/>
        </w:r>
      </w:hyperlink>
    </w:p>
    <w:p w14:paraId="0B509454" w14:textId="16A04107" w:rsidR="00776CBF" w:rsidRDefault="00776CBF">
      <w:pPr>
        <w:pStyle w:val="31"/>
        <w:rPr>
          <w:rFonts w:asciiTheme="minorHAnsi" w:eastAsiaTheme="minorEastAsia" w:hAnsiTheme="minorHAnsi" w:cstheme="minorBidi"/>
          <w:kern w:val="2"/>
          <w14:ligatures w14:val="standardContextual"/>
        </w:rPr>
      </w:pPr>
      <w:hyperlink w:anchor="_Toc201901891" w:history="1">
        <w:r w:rsidRPr="00B30F81">
          <w:rPr>
            <w:rStyle w:val="a3"/>
          </w:rPr>
          <w:t>За январь - март негосударственные пенсионные фонды накопили 24,8 млрд доходов от инвестиционной и финансовой деятельности, сообщил Банк России.</w:t>
        </w:r>
        <w:r>
          <w:rPr>
            <w:webHidden/>
          </w:rPr>
          <w:tab/>
        </w:r>
        <w:r>
          <w:rPr>
            <w:webHidden/>
          </w:rPr>
          <w:fldChar w:fldCharType="begin"/>
        </w:r>
        <w:r>
          <w:rPr>
            <w:webHidden/>
          </w:rPr>
          <w:instrText xml:space="preserve"> PAGEREF _Toc201901891 \h </w:instrText>
        </w:r>
        <w:r>
          <w:rPr>
            <w:webHidden/>
          </w:rPr>
        </w:r>
        <w:r>
          <w:rPr>
            <w:webHidden/>
          </w:rPr>
          <w:fldChar w:fldCharType="separate"/>
        </w:r>
        <w:r w:rsidR="008E3E95">
          <w:rPr>
            <w:webHidden/>
          </w:rPr>
          <w:t>16</w:t>
        </w:r>
        <w:r>
          <w:rPr>
            <w:webHidden/>
          </w:rPr>
          <w:fldChar w:fldCharType="end"/>
        </w:r>
      </w:hyperlink>
    </w:p>
    <w:p w14:paraId="2D570E98" w14:textId="0CBE1618"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892" w:history="1">
        <w:r w:rsidRPr="00B30F81">
          <w:rPr>
            <w:rStyle w:val="a3"/>
            <w:noProof/>
          </w:rPr>
          <w:t>AK&amp;M, 26.06.2025, Количество пользователей личного кабинета НПФ «БЛАГОСОСТОЯНИЕ» достигло 480 000 человек</w:t>
        </w:r>
        <w:r>
          <w:rPr>
            <w:noProof/>
            <w:webHidden/>
          </w:rPr>
          <w:tab/>
        </w:r>
        <w:r>
          <w:rPr>
            <w:noProof/>
            <w:webHidden/>
          </w:rPr>
          <w:fldChar w:fldCharType="begin"/>
        </w:r>
        <w:r>
          <w:rPr>
            <w:noProof/>
            <w:webHidden/>
          </w:rPr>
          <w:instrText xml:space="preserve"> PAGEREF _Toc201901892 \h </w:instrText>
        </w:r>
        <w:r>
          <w:rPr>
            <w:noProof/>
            <w:webHidden/>
          </w:rPr>
        </w:r>
        <w:r>
          <w:rPr>
            <w:noProof/>
            <w:webHidden/>
          </w:rPr>
          <w:fldChar w:fldCharType="separate"/>
        </w:r>
        <w:r w:rsidR="008E3E95">
          <w:rPr>
            <w:noProof/>
            <w:webHidden/>
          </w:rPr>
          <w:t>16</w:t>
        </w:r>
        <w:r>
          <w:rPr>
            <w:noProof/>
            <w:webHidden/>
          </w:rPr>
          <w:fldChar w:fldCharType="end"/>
        </w:r>
      </w:hyperlink>
    </w:p>
    <w:p w14:paraId="7FD799E8" w14:textId="1EB39B98" w:rsidR="00776CBF" w:rsidRDefault="00776CBF">
      <w:pPr>
        <w:pStyle w:val="31"/>
        <w:rPr>
          <w:rFonts w:asciiTheme="minorHAnsi" w:eastAsiaTheme="minorEastAsia" w:hAnsiTheme="minorHAnsi" w:cstheme="minorBidi"/>
          <w:kern w:val="2"/>
          <w14:ligatures w14:val="standardContextual"/>
        </w:rPr>
      </w:pPr>
      <w:hyperlink w:anchor="_Toc201901893" w:history="1">
        <w:r w:rsidRPr="00B30F81">
          <w:rPr>
            <w:rStyle w:val="a3"/>
          </w:rPr>
          <w:t>Количество пользователей сервиса «Личный кабинет» в НПФ «БЛАГОСОСТОЯНИЕ» достигло 480 тысяч физических лиц. Это клиенты фонда по корпоративным и индивидуальным пенсионным программам, граждане, передавшие фонду управление накопительной частью пенсии по ОПС и заключившие договоры долгосрочных сбережений, а также пенсионеры, уже получающие выплаты от фонда.</w:t>
        </w:r>
        <w:r>
          <w:rPr>
            <w:webHidden/>
          </w:rPr>
          <w:tab/>
        </w:r>
        <w:r>
          <w:rPr>
            <w:webHidden/>
          </w:rPr>
          <w:fldChar w:fldCharType="begin"/>
        </w:r>
        <w:r>
          <w:rPr>
            <w:webHidden/>
          </w:rPr>
          <w:instrText xml:space="preserve"> PAGEREF _Toc201901893 \h </w:instrText>
        </w:r>
        <w:r>
          <w:rPr>
            <w:webHidden/>
          </w:rPr>
        </w:r>
        <w:r>
          <w:rPr>
            <w:webHidden/>
          </w:rPr>
          <w:fldChar w:fldCharType="separate"/>
        </w:r>
        <w:r w:rsidR="008E3E95">
          <w:rPr>
            <w:webHidden/>
          </w:rPr>
          <w:t>16</w:t>
        </w:r>
        <w:r>
          <w:rPr>
            <w:webHidden/>
          </w:rPr>
          <w:fldChar w:fldCharType="end"/>
        </w:r>
      </w:hyperlink>
    </w:p>
    <w:p w14:paraId="0D385E6F" w14:textId="17916132"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894" w:history="1">
        <w:r w:rsidRPr="00B30F81">
          <w:rPr>
            <w:rStyle w:val="a3"/>
            <w:noProof/>
          </w:rPr>
          <w:t>Ваш Пенсионный Брокер, 26.06.2025, НПФ «Социум» стал партнером благотворительного «МедЗабега»</w:t>
        </w:r>
        <w:r>
          <w:rPr>
            <w:noProof/>
            <w:webHidden/>
          </w:rPr>
          <w:tab/>
        </w:r>
        <w:r>
          <w:rPr>
            <w:noProof/>
            <w:webHidden/>
          </w:rPr>
          <w:fldChar w:fldCharType="begin"/>
        </w:r>
        <w:r>
          <w:rPr>
            <w:noProof/>
            <w:webHidden/>
          </w:rPr>
          <w:instrText xml:space="preserve"> PAGEREF _Toc201901894 \h </w:instrText>
        </w:r>
        <w:r>
          <w:rPr>
            <w:noProof/>
            <w:webHidden/>
          </w:rPr>
        </w:r>
        <w:r>
          <w:rPr>
            <w:noProof/>
            <w:webHidden/>
          </w:rPr>
          <w:fldChar w:fldCharType="separate"/>
        </w:r>
        <w:r w:rsidR="008E3E95">
          <w:rPr>
            <w:noProof/>
            <w:webHidden/>
          </w:rPr>
          <w:t>17</w:t>
        </w:r>
        <w:r>
          <w:rPr>
            <w:noProof/>
            <w:webHidden/>
          </w:rPr>
          <w:fldChar w:fldCharType="end"/>
        </w:r>
      </w:hyperlink>
    </w:p>
    <w:p w14:paraId="468B7342" w14:textId="2926B15A" w:rsidR="00776CBF" w:rsidRDefault="00776CBF">
      <w:pPr>
        <w:pStyle w:val="31"/>
        <w:rPr>
          <w:rFonts w:asciiTheme="minorHAnsi" w:eastAsiaTheme="minorEastAsia" w:hAnsiTheme="minorHAnsi" w:cstheme="minorBidi"/>
          <w:kern w:val="2"/>
          <w14:ligatures w14:val="standardContextual"/>
        </w:rPr>
      </w:pPr>
      <w:hyperlink w:anchor="_Toc201901895" w:history="1">
        <w:r w:rsidRPr="00B30F81">
          <w:rPr>
            <w:rStyle w:val="a3"/>
          </w:rPr>
          <w:t>Команда НПФ «Социум» уже второй год подряд принимает участие в VII ежегодном благотворительном «МедЗабеге», посвящённом памяти Доктора Лизы — выдающегося врача и гуманиста Елизаветы Петровны Глинки. В этом году фонд также выступил партнером спортивного события.</w:t>
        </w:r>
        <w:r>
          <w:rPr>
            <w:webHidden/>
          </w:rPr>
          <w:tab/>
        </w:r>
        <w:r>
          <w:rPr>
            <w:webHidden/>
          </w:rPr>
          <w:fldChar w:fldCharType="begin"/>
        </w:r>
        <w:r>
          <w:rPr>
            <w:webHidden/>
          </w:rPr>
          <w:instrText xml:space="preserve"> PAGEREF _Toc201901895 \h </w:instrText>
        </w:r>
        <w:r>
          <w:rPr>
            <w:webHidden/>
          </w:rPr>
        </w:r>
        <w:r>
          <w:rPr>
            <w:webHidden/>
          </w:rPr>
          <w:fldChar w:fldCharType="separate"/>
        </w:r>
        <w:r w:rsidR="008E3E95">
          <w:rPr>
            <w:webHidden/>
          </w:rPr>
          <w:t>17</w:t>
        </w:r>
        <w:r>
          <w:rPr>
            <w:webHidden/>
          </w:rPr>
          <w:fldChar w:fldCharType="end"/>
        </w:r>
      </w:hyperlink>
    </w:p>
    <w:p w14:paraId="6ED187E3" w14:textId="46D30680" w:rsidR="00776CBF" w:rsidRDefault="00776CB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901896" w:history="1">
        <w:r w:rsidRPr="00B30F8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_Toc201901896 \h </w:instrText>
        </w:r>
        <w:r>
          <w:rPr>
            <w:noProof/>
            <w:webHidden/>
          </w:rPr>
        </w:r>
        <w:r>
          <w:rPr>
            <w:noProof/>
            <w:webHidden/>
          </w:rPr>
          <w:fldChar w:fldCharType="separate"/>
        </w:r>
        <w:r w:rsidR="008E3E95">
          <w:rPr>
            <w:noProof/>
            <w:webHidden/>
          </w:rPr>
          <w:t>18</w:t>
        </w:r>
        <w:r>
          <w:rPr>
            <w:noProof/>
            <w:webHidden/>
          </w:rPr>
          <w:fldChar w:fldCharType="end"/>
        </w:r>
      </w:hyperlink>
    </w:p>
    <w:p w14:paraId="7756F24B" w14:textId="17698086"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897" w:history="1">
        <w:r w:rsidRPr="00B30F81">
          <w:rPr>
            <w:rStyle w:val="a3"/>
            <w:noProof/>
          </w:rPr>
          <w:t>Минфин России, 26.06.2025, Подведены итоги регионального этапа Всероссийского семейного фестиваля сбережений и инвестиций</w:t>
        </w:r>
        <w:r>
          <w:rPr>
            <w:noProof/>
            <w:webHidden/>
          </w:rPr>
          <w:tab/>
        </w:r>
        <w:r>
          <w:rPr>
            <w:noProof/>
            <w:webHidden/>
          </w:rPr>
          <w:fldChar w:fldCharType="begin"/>
        </w:r>
        <w:r>
          <w:rPr>
            <w:noProof/>
            <w:webHidden/>
          </w:rPr>
          <w:instrText xml:space="preserve"> PAGEREF _Toc201901897 \h </w:instrText>
        </w:r>
        <w:r>
          <w:rPr>
            <w:noProof/>
            <w:webHidden/>
          </w:rPr>
        </w:r>
        <w:r>
          <w:rPr>
            <w:noProof/>
            <w:webHidden/>
          </w:rPr>
          <w:fldChar w:fldCharType="separate"/>
        </w:r>
        <w:r w:rsidR="008E3E95">
          <w:rPr>
            <w:noProof/>
            <w:webHidden/>
          </w:rPr>
          <w:t>18</w:t>
        </w:r>
        <w:r>
          <w:rPr>
            <w:noProof/>
            <w:webHidden/>
          </w:rPr>
          <w:fldChar w:fldCharType="end"/>
        </w:r>
      </w:hyperlink>
    </w:p>
    <w:p w14:paraId="5D9A1790" w14:textId="1906B7F2" w:rsidR="00776CBF" w:rsidRDefault="00776CBF">
      <w:pPr>
        <w:pStyle w:val="31"/>
        <w:rPr>
          <w:rFonts w:asciiTheme="minorHAnsi" w:eastAsiaTheme="minorEastAsia" w:hAnsiTheme="minorHAnsi" w:cstheme="minorBidi"/>
          <w:kern w:val="2"/>
          <w14:ligatures w14:val="standardContextual"/>
        </w:rPr>
      </w:pPr>
      <w:hyperlink w:anchor="_Toc201901898" w:history="1">
        <w:r w:rsidRPr="00B30F81">
          <w:rPr>
            <w:rStyle w:val="a3"/>
          </w:rPr>
          <w:t>В 29 субъектах Российской Федерации завершился региональный этап II Всероссийского семейного фестиваля сбережений и инвестиций. Мероприятие собрало около 630 семей-участников, которые ранее победили в муниципальном этапе. Всего в муниципальном этапе приняли участие 3 200 семей из нескольких сотен городов и поселений.</w:t>
        </w:r>
        <w:r>
          <w:rPr>
            <w:webHidden/>
          </w:rPr>
          <w:tab/>
        </w:r>
        <w:r>
          <w:rPr>
            <w:webHidden/>
          </w:rPr>
          <w:fldChar w:fldCharType="begin"/>
        </w:r>
        <w:r>
          <w:rPr>
            <w:webHidden/>
          </w:rPr>
          <w:instrText xml:space="preserve"> PAGEREF _Toc201901898 \h </w:instrText>
        </w:r>
        <w:r>
          <w:rPr>
            <w:webHidden/>
          </w:rPr>
        </w:r>
        <w:r>
          <w:rPr>
            <w:webHidden/>
          </w:rPr>
          <w:fldChar w:fldCharType="separate"/>
        </w:r>
        <w:r w:rsidR="008E3E95">
          <w:rPr>
            <w:webHidden/>
          </w:rPr>
          <w:t>18</w:t>
        </w:r>
        <w:r>
          <w:rPr>
            <w:webHidden/>
          </w:rPr>
          <w:fldChar w:fldCharType="end"/>
        </w:r>
      </w:hyperlink>
    </w:p>
    <w:p w14:paraId="7B86D3F0" w14:textId="696284C9"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899" w:history="1">
        <w:r w:rsidRPr="00B30F81">
          <w:rPr>
            <w:rStyle w:val="a3"/>
            <w:noProof/>
          </w:rPr>
          <w:t>АиФ, 26.06.2025, Копить на пенсию «автоматом»? Да. Но есть нюансы</w:t>
        </w:r>
        <w:r>
          <w:rPr>
            <w:noProof/>
            <w:webHidden/>
          </w:rPr>
          <w:tab/>
        </w:r>
        <w:r>
          <w:rPr>
            <w:noProof/>
            <w:webHidden/>
          </w:rPr>
          <w:fldChar w:fldCharType="begin"/>
        </w:r>
        <w:r>
          <w:rPr>
            <w:noProof/>
            <w:webHidden/>
          </w:rPr>
          <w:instrText xml:space="preserve"> PAGEREF _Toc201901899 \h </w:instrText>
        </w:r>
        <w:r>
          <w:rPr>
            <w:noProof/>
            <w:webHidden/>
          </w:rPr>
        </w:r>
        <w:r>
          <w:rPr>
            <w:noProof/>
            <w:webHidden/>
          </w:rPr>
          <w:fldChar w:fldCharType="separate"/>
        </w:r>
        <w:r w:rsidR="008E3E95">
          <w:rPr>
            <w:noProof/>
            <w:webHidden/>
          </w:rPr>
          <w:t>19</w:t>
        </w:r>
        <w:r>
          <w:rPr>
            <w:noProof/>
            <w:webHidden/>
          </w:rPr>
          <w:fldChar w:fldCharType="end"/>
        </w:r>
      </w:hyperlink>
    </w:p>
    <w:p w14:paraId="7E7D9C37" w14:textId="52FCA7D9" w:rsidR="00776CBF" w:rsidRDefault="00776CBF">
      <w:pPr>
        <w:pStyle w:val="31"/>
        <w:rPr>
          <w:rFonts w:asciiTheme="minorHAnsi" w:eastAsiaTheme="minorEastAsia" w:hAnsiTheme="minorHAnsi" w:cstheme="minorBidi"/>
          <w:kern w:val="2"/>
          <w14:ligatures w14:val="standardContextual"/>
        </w:rPr>
      </w:pPr>
      <w:hyperlink w:anchor="_Toc201901900" w:history="1">
        <w:r w:rsidRPr="00B30F81">
          <w:rPr>
            <w:rStyle w:val="a3"/>
          </w:rPr>
          <w:t>У думцев и ряда финансистов родилась мысль (ее обсуждали, в том числе на недавнем ПМЭФ) автоматически перевести пенсионные накопления россиян в программу долгосрочных сбережений (ПДС). Минфин и ЦБ готовы идею рассмотреть. Это значит, могут одобрить.</w:t>
        </w:r>
        <w:r>
          <w:rPr>
            <w:webHidden/>
          </w:rPr>
          <w:tab/>
        </w:r>
        <w:r>
          <w:rPr>
            <w:webHidden/>
          </w:rPr>
          <w:fldChar w:fldCharType="begin"/>
        </w:r>
        <w:r>
          <w:rPr>
            <w:webHidden/>
          </w:rPr>
          <w:instrText xml:space="preserve"> PAGEREF _Toc201901900 \h </w:instrText>
        </w:r>
        <w:r>
          <w:rPr>
            <w:webHidden/>
          </w:rPr>
        </w:r>
        <w:r>
          <w:rPr>
            <w:webHidden/>
          </w:rPr>
          <w:fldChar w:fldCharType="separate"/>
        </w:r>
        <w:r w:rsidR="008E3E95">
          <w:rPr>
            <w:webHidden/>
          </w:rPr>
          <w:t>19</w:t>
        </w:r>
        <w:r>
          <w:rPr>
            <w:webHidden/>
          </w:rPr>
          <w:fldChar w:fldCharType="end"/>
        </w:r>
      </w:hyperlink>
    </w:p>
    <w:p w14:paraId="33DED7E7" w14:textId="00DDCA8A"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01" w:history="1">
        <w:r w:rsidRPr="00B30F81">
          <w:rPr>
            <w:rStyle w:val="a3"/>
            <w:noProof/>
          </w:rPr>
          <w:t>Пенсия.pro, 26.06.2025, Треть финансово грамотных россиян не планируют участвовать в программе долгосрочных сбережений — опрос</w:t>
        </w:r>
        <w:r>
          <w:rPr>
            <w:noProof/>
            <w:webHidden/>
          </w:rPr>
          <w:tab/>
        </w:r>
        <w:r>
          <w:rPr>
            <w:noProof/>
            <w:webHidden/>
          </w:rPr>
          <w:fldChar w:fldCharType="begin"/>
        </w:r>
        <w:r>
          <w:rPr>
            <w:noProof/>
            <w:webHidden/>
          </w:rPr>
          <w:instrText xml:space="preserve"> PAGEREF _Toc201901901 \h </w:instrText>
        </w:r>
        <w:r>
          <w:rPr>
            <w:noProof/>
            <w:webHidden/>
          </w:rPr>
        </w:r>
        <w:r>
          <w:rPr>
            <w:noProof/>
            <w:webHidden/>
          </w:rPr>
          <w:fldChar w:fldCharType="separate"/>
        </w:r>
        <w:r w:rsidR="008E3E95">
          <w:rPr>
            <w:noProof/>
            <w:webHidden/>
          </w:rPr>
          <w:t>21</w:t>
        </w:r>
        <w:r>
          <w:rPr>
            <w:noProof/>
            <w:webHidden/>
          </w:rPr>
          <w:fldChar w:fldCharType="end"/>
        </w:r>
      </w:hyperlink>
    </w:p>
    <w:p w14:paraId="070D7E61" w14:textId="0A2CE92A" w:rsidR="00776CBF" w:rsidRDefault="00776CBF">
      <w:pPr>
        <w:pStyle w:val="31"/>
        <w:rPr>
          <w:rFonts w:asciiTheme="minorHAnsi" w:eastAsiaTheme="minorEastAsia" w:hAnsiTheme="minorHAnsi" w:cstheme="minorBidi"/>
          <w:kern w:val="2"/>
          <w14:ligatures w14:val="standardContextual"/>
        </w:rPr>
      </w:pPr>
      <w:hyperlink w:anchor="_Toc201901902" w:history="1">
        <w:r w:rsidRPr="00B30F81">
          <w:rPr>
            <w:rStyle w:val="a3"/>
          </w:rPr>
          <w:t>33 % россиян, знакомых с разнообразными финансовыми инструментами, не вступили в программу долгосрочных сбережений и не хотят этого делать. Таковые результаты опроса, проведенного в телеграм-канале инвестора Киры Юхтенко с 60 тысячами подписчиков.</w:t>
        </w:r>
        <w:r>
          <w:rPr>
            <w:webHidden/>
          </w:rPr>
          <w:tab/>
        </w:r>
        <w:r>
          <w:rPr>
            <w:webHidden/>
          </w:rPr>
          <w:fldChar w:fldCharType="begin"/>
        </w:r>
        <w:r>
          <w:rPr>
            <w:webHidden/>
          </w:rPr>
          <w:instrText xml:space="preserve"> PAGEREF _Toc201901902 \h </w:instrText>
        </w:r>
        <w:r>
          <w:rPr>
            <w:webHidden/>
          </w:rPr>
        </w:r>
        <w:r>
          <w:rPr>
            <w:webHidden/>
          </w:rPr>
          <w:fldChar w:fldCharType="separate"/>
        </w:r>
        <w:r w:rsidR="008E3E95">
          <w:rPr>
            <w:webHidden/>
          </w:rPr>
          <w:t>21</w:t>
        </w:r>
        <w:r>
          <w:rPr>
            <w:webHidden/>
          </w:rPr>
          <w:fldChar w:fldCharType="end"/>
        </w:r>
      </w:hyperlink>
    </w:p>
    <w:p w14:paraId="2BB61154" w14:textId="3D64A7FB"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03" w:history="1">
        <w:r w:rsidRPr="00B30F81">
          <w:rPr>
            <w:rStyle w:val="a3"/>
            <w:noProof/>
          </w:rPr>
          <w:t>Bankreal, 26.06.2025, Уже можно запрашивать в налоговой справки о количестве договоров долгосрочных сбережений</w:t>
        </w:r>
        <w:r>
          <w:rPr>
            <w:noProof/>
            <w:webHidden/>
          </w:rPr>
          <w:tab/>
        </w:r>
        <w:r>
          <w:rPr>
            <w:noProof/>
            <w:webHidden/>
          </w:rPr>
          <w:fldChar w:fldCharType="begin"/>
        </w:r>
        <w:r>
          <w:rPr>
            <w:noProof/>
            <w:webHidden/>
          </w:rPr>
          <w:instrText xml:space="preserve"> PAGEREF _Toc201901903 \h </w:instrText>
        </w:r>
        <w:r>
          <w:rPr>
            <w:noProof/>
            <w:webHidden/>
          </w:rPr>
        </w:r>
        <w:r>
          <w:rPr>
            <w:noProof/>
            <w:webHidden/>
          </w:rPr>
          <w:fldChar w:fldCharType="separate"/>
        </w:r>
        <w:r w:rsidR="008E3E95">
          <w:rPr>
            <w:noProof/>
            <w:webHidden/>
          </w:rPr>
          <w:t>22</w:t>
        </w:r>
        <w:r>
          <w:rPr>
            <w:noProof/>
            <w:webHidden/>
          </w:rPr>
          <w:fldChar w:fldCharType="end"/>
        </w:r>
      </w:hyperlink>
    </w:p>
    <w:p w14:paraId="02C37EF0" w14:textId="151D2057" w:rsidR="00776CBF" w:rsidRDefault="00776CBF">
      <w:pPr>
        <w:pStyle w:val="31"/>
        <w:rPr>
          <w:rFonts w:asciiTheme="minorHAnsi" w:eastAsiaTheme="minorEastAsia" w:hAnsiTheme="minorHAnsi" w:cstheme="minorBidi"/>
          <w:kern w:val="2"/>
          <w14:ligatures w14:val="standardContextual"/>
        </w:rPr>
      </w:pPr>
      <w:hyperlink w:anchor="_Toc201901904" w:history="1">
        <w:r w:rsidRPr="00B30F81">
          <w:rPr>
            <w:rStyle w:val="a3"/>
          </w:rPr>
          <w:t>ФНС разослала рекомендуемую форму заявления на выдачу такой справки. Выплаты, освобождаемые от НДФЛ на основании такой справки, начнутся не скоро, но ФНС, видимо, имеет в виду, что запасаться справками можно уже сейчас.</w:t>
        </w:r>
        <w:r>
          <w:rPr>
            <w:webHidden/>
          </w:rPr>
          <w:tab/>
        </w:r>
        <w:r>
          <w:rPr>
            <w:webHidden/>
          </w:rPr>
          <w:fldChar w:fldCharType="begin"/>
        </w:r>
        <w:r>
          <w:rPr>
            <w:webHidden/>
          </w:rPr>
          <w:instrText xml:space="preserve"> PAGEREF _Toc201901904 \h </w:instrText>
        </w:r>
        <w:r>
          <w:rPr>
            <w:webHidden/>
          </w:rPr>
        </w:r>
        <w:r>
          <w:rPr>
            <w:webHidden/>
          </w:rPr>
          <w:fldChar w:fldCharType="separate"/>
        </w:r>
        <w:r w:rsidR="008E3E95">
          <w:rPr>
            <w:webHidden/>
          </w:rPr>
          <w:t>22</w:t>
        </w:r>
        <w:r>
          <w:rPr>
            <w:webHidden/>
          </w:rPr>
          <w:fldChar w:fldCharType="end"/>
        </w:r>
      </w:hyperlink>
    </w:p>
    <w:p w14:paraId="20E9723D" w14:textId="3A127F02"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05" w:history="1">
        <w:r w:rsidRPr="00B30F81">
          <w:rPr>
            <w:rStyle w:val="a3"/>
            <w:noProof/>
          </w:rPr>
          <w:t>Унечская газета, 26.06.2025, Программа долгосрочных сбережений становится опорой финансовой стабильности россиян</w:t>
        </w:r>
        <w:r>
          <w:rPr>
            <w:noProof/>
            <w:webHidden/>
          </w:rPr>
          <w:tab/>
        </w:r>
        <w:r>
          <w:rPr>
            <w:noProof/>
            <w:webHidden/>
          </w:rPr>
          <w:fldChar w:fldCharType="begin"/>
        </w:r>
        <w:r>
          <w:rPr>
            <w:noProof/>
            <w:webHidden/>
          </w:rPr>
          <w:instrText xml:space="preserve"> PAGEREF _Toc201901905 \h </w:instrText>
        </w:r>
        <w:r>
          <w:rPr>
            <w:noProof/>
            <w:webHidden/>
          </w:rPr>
        </w:r>
        <w:r>
          <w:rPr>
            <w:noProof/>
            <w:webHidden/>
          </w:rPr>
          <w:fldChar w:fldCharType="separate"/>
        </w:r>
        <w:r w:rsidR="008E3E95">
          <w:rPr>
            <w:noProof/>
            <w:webHidden/>
          </w:rPr>
          <w:t>23</w:t>
        </w:r>
        <w:r>
          <w:rPr>
            <w:noProof/>
            <w:webHidden/>
          </w:rPr>
          <w:fldChar w:fldCharType="end"/>
        </w:r>
      </w:hyperlink>
    </w:p>
    <w:p w14:paraId="36D058B8" w14:textId="63579709" w:rsidR="00776CBF" w:rsidRDefault="00776CBF">
      <w:pPr>
        <w:pStyle w:val="31"/>
        <w:rPr>
          <w:rFonts w:asciiTheme="minorHAnsi" w:eastAsiaTheme="minorEastAsia" w:hAnsiTheme="minorHAnsi" w:cstheme="minorBidi"/>
          <w:kern w:val="2"/>
          <w14:ligatures w14:val="standardContextual"/>
        </w:rPr>
      </w:pPr>
      <w:hyperlink w:anchor="_Toc201901906" w:history="1">
        <w:r w:rsidRPr="00B30F81">
          <w:rPr>
            <w:rStyle w:val="a3"/>
          </w:rPr>
          <w:t>Участники сессии «Программа долгосрочных сбережений – драйвер развития российской экономики и улучшения благосостояния граждан» Петербургского международного экономического форума сошлись во мнении, что новая система накоплений не только способствует укреплению личной финансовой устойчивости, но и открывает перспективы для повышения инвестиционной активности и развития рынка труда.</w:t>
        </w:r>
        <w:r>
          <w:rPr>
            <w:webHidden/>
          </w:rPr>
          <w:tab/>
        </w:r>
        <w:r>
          <w:rPr>
            <w:webHidden/>
          </w:rPr>
          <w:fldChar w:fldCharType="begin"/>
        </w:r>
        <w:r>
          <w:rPr>
            <w:webHidden/>
          </w:rPr>
          <w:instrText xml:space="preserve"> PAGEREF _Toc201901906 \h </w:instrText>
        </w:r>
        <w:r>
          <w:rPr>
            <w:webHidden/>
          </w:rPr>
        </w:r>
        <w:r>
          <w:rPr>
            <w:webHidden/>
          </w:rPr>
          <w:fldChar w:fldCharType="separate"/>
        </w:r>
        <w:r w:rsidR="008E3E95">
          <w:rPr>
            <w:webHidden/>
          </w:rPr>
          <w:t>23</w:t>
        </w:r>
        <w:r>
          <w:rPr>
            <w:webHidden/>
          </w:rPr>
          <w:fldChar w:fldCharType="end"/>
        </w:r>
      </w:hyperlink>
    </w:p>
    <w:p w14:paraId="71E84B0E" w14:textId="622DEA40"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07" w:history="1">
        <w:r w:rsidRPr="00B30F81">
          <w:rPr>
            <w:rStyle w:val="a3"/>
            <w:noProof/>
          </w:rPr>
          <w:t>Наш Красноярский край, 26.06.2025, Как работает программа долгосрочных сбережений</w:t>
        </w:r>
        <w:r>
          <w:rPr>
            <w:noProof/>
            <w:webHidden/>
          </w:rPr>
          <w:tab/>
        </w:r>
        <w:r>
          <w:rPr>
            <w:noProof/>
            <w:webHidden/>
          </w:rPr>
          <w:fldChar w:fldCharType="begin"/>
        </w:r>
        <w:r>
          <w:rPr>
            <w:noProof/>
            <w:webHidden/>
          </w:rPr>
          <w:instrText xml:space="preserve"> PAGEREF _Toc201901907 \h </w:instrText>
        </w:r>
        <w:r>
          <w:rPr>
            <w:noProof/>
            <w:webHidden/>
          </w:rPr>
        </w:r>
        <w:r>
          <w:rPr>
            <w:noProof/>
            <w:webHidden/>
          </w:rPr>
          <w:fldChar w:fldCharType="separate"/>
        </w:r>
        <w:r w:rsidR="008E3E95">
          <w:rPr>
            <w:noProof/>
            <w:webHidden/>
          </w:rPr>
          <w:t>24</w:t>
        </w:r>
        <w:r>
          <w:rPr>
            <w:noProof/>
            <w:webHidden/>
          </w:rPr>
          <w:fldChar w:fldCharType="end"/>
        </w:r>
      </w:hyperlink>
    </w:p>
    <w:p w14:paraId="77944B79" w14:textId="5B6CACC4" w:rsidR="00776CBF" w:rsidRDefault="00776CBF">
      <w:pPr>
        <w:pStyle w:val="31"/>
        <w:rPr>
          <w:rFonts w:asciiTheme="minorHAnsi" w:eastAsiaTheme="minorEastAsia" w:hAnsiTheme="minorHAnsi" w:cstheme="minorBidi"/>
          <w:kern w:val="2"/>
          <w14:ligatures w14:val="standardContextual"/>
        </w:rPr>
      </w:pPr>
      <w:hyperlink w:anchor="_Toc201901908" w:history="1">
        <w:r w:rsidRPr="00B30F81">
          <w:rPr>
            <w:rStyle w:val="a3"/>
          </w:rPr>
          <w:t>Программа долгосрочных сбережений предлагает россиянам копить деньги при активной поддержке государства.</w:t>
        </w:r>
        <w:r>
          <w:rPr>
            <w:webHidden/>
          </w:rPr>
          <w:tab/>
        </w:r>
        <w:r>
          <w:rPr>
            <w:webHidden/>
          </w:rPr>
          <w:fldChar w:fldCharType="begin"/>
        </w:r>
        <w:r>
          <w:rPr>
            <w:webHidden/>
          </w:rPr>
          <w:instrText xml:space="preserve"> PAGEREF _Toc201901908 \h </w:instrText>
        </w:r>
        <w:r>
          <w:rPr>
            <w:webHidden/>
          </w:rPr>
        </w:r>
        <w:r>
          <w:rPr>
            <w:webHidden/>
          </w:rPr>
          <w:fldChar w:fldCharType="separate"/>
        </w:r>
        <w:r w:rsidR="008E3E95">
          <w:rPr>
            <w:webHidden/>
          </w:rPr>
          <w:t>24</w:t>
        </w:r>
        <w:r>
          <w:rPr>
            <w:webHidden/>
          </w:rPr>
          <w:fldChar w:fldCharType="end"/>
        </w:r>
      </w:hyperlink>
    </w:p>
    <w:p w14:paraId="0F2056AC" w14:textId="144FC280"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09" w:history="1">
        <w:r w:rsidRPr="00B30F81">
          <w:rPr>
            <w:rStyle w:val="a3"/>
            <w:noProof/>
          </w:rPr>
          <w:t>Канские Ведомости, 26.06.2025, Будущее под защитой: как государство умножает ваши сбережения</w:t>
        </w:r>
        <w:r>
          <w:rPr>
            <w:noProof/>
            <w:webHidden/>
          </w:rPr>
          <w:tab/>
        </w:r>
        <w:r>
          <w:rPr>
            <w:noProof/>
            <w:webHidden/>
          </w:rPr>
          <w:fldChar w:fldCharType="begin"/>
        </w:r>
        <w:r>
          <w:rPr>
            <w:noProof/>
            <w:webHidden/>
          </w:rPr>
          <w:instrText xml:space="preserve"> PAGEREF _Toc201901909 \h </w:instrText>
        </w:r>
        <w:r>
          <w:rPr>
            <w:noProof/>
            <w:webHidden/>
          </w:rPr>
        </w:r>
        <w:r>
          <w:rPr>
            <w:noProof/>
            <w:webHidden/>
          </w:rPr>
          <w:fldChar w:fldCharType="separate"/>
        </w:r>
        <w:r w:rsidR="008E3E95">
          <w:rPr>
            <w:noProof/>
            <w:webHidden/>
          </w:rPr>
          <w:t>24</w:t>
        </w:r>
        <w:r>
          <w:rPr>
            <w:noProof/>
            <w:webHidden/>
          </w:rPr>
          <w:fldChar w:fldCharType="end"/>
        </w:r>
      </w:hyperlink>
    </w:p>
    <w:p w14:paraId="66A9C5BF" w14:textId="44EC4D25" w:rsidR="00776CBF" w:rsidRDefault="00776CBF">
      <w:pPr>
        <w:pStyle w:val="31"/>
        <w:rPr>
          <w:rFonts w:asciiTheme="minorHAnsi" w:eastAsiaTheme="minorEastAsia" w:hAnsiTheme="minorHAnsi" w:cstheme="minorBidi"/>
          <w:kern w:val="2"/>
          <w14:ligatures w14:val="standardContextual"/>
        </w:rPr>
      </w:pPr>
      <w:hyperlink w:anchor="_Toc201901910" w:history="1">
        <w:r w:rsidRPr="00B30F81">
          <w:rPr>
            <w:rStyle w:val="a3"/>
          </w:rPr>
          <w:t>Программа долгосрочных сбережений предлагает россиянам создать капитал при активной поддержке государства.</w:t>
        </w:r>
        <w:r>
          <w:rPr>
            <w:webHidden/>
          </w:rPr>
          <w:tab/>
        </w:r>
        <w:r>
          <w:rPr>
            <w:webHidden/>
          </w:rPr>
          <w:fldChar w:fldCharType="begin"/>
        </w:r>
        <w:r>
          <w:rPr>
            <w:webHidden/>
          </w:rPr>
          <w:instrText xml:space="preserve"> PAGEREF _Toc201901910 \h </w:instrText>
        </w:r>
        <w:r>
          <w:rPr>
            <w:webHidden/>
          </w:rPr>
        </w:r>
        <w:r>
          <w:rPr>
            <w:webHidden/>
          </w:rPr>
          <w:fldChar w:fldCharType="separate"/>
        </w:r>
        <w:r w:rsidR="008E3E95">
          <w:rPr>
            <w:webHidden/>
          </w:rPr>
          <w:t>24</w:t>
        </w:r>
        <w:r>
          <w:rPr>
            <w:webHidden/>
          </w:rPr>
          <w:fldChar w:fldCharType="end"/>
        </w:r>
      </w:hyperlink>
    </w:p>
    <w:p w14:paraId="1A14123F" w14:textId="336A67B5"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11" w:history="1">
        <w:r w:rsidRPr="00B30F81">
          <w:rPr>
            <w:rStyle w:val="a3"/>
            <w:noProof/>
          </w:rPr>
          <w:t>Медиа 73, 26.06.2025, Ульяновцы заключили около 46 тысяч договоров по программе долгосрочных сбережений</w:t>
        </w:r>
        <w:r>
          <w:rPr>
            <w:noProof/>
            <w:webHidden/>
          </w:rPr>
          <w:tab/>
        </w:r>
        <w:r>
          <w:rPr>
            <w:noProof/>
            <w:webHidden/>
          </w:rPr>
          <w:fldChar w:fldCharType="begin"/>
        </w:r>
        <w:r>
          <w:rPr>
            <w:noProof/>
            <w:webHidden/>
          </w:rPr>
          <w:instrText xml:space="preserve"> PAGEREF _Toc201901911 \h </w:instrText>
        </w:r>
        <w:r>
          <w:rPr>
            <w:noProof/>
            <w:webHidden/>
          </w:rPr>
        </w:r>
        <w:r>
          <w:rPr>
            <w:noProof/>
            <w:webHidden/>
          </w:rPr>
          <w:fldChar w:fldCharType="separate"/>
        </w:r>
        <w:r w:rsidR="008E3E95">
          <w:rPr>
            <w:noProof/>
            <w:webHidden/>
          </w:rPr>
          <w:t>25</w:t>
        </w:r>
        <w:r>
          <w:rPr>
            <w:noProof/>
            <w:webHidden/>
          </w:rPr>
          <w:fldChar w:fldCharType="end"/>
        </w:r>
      </w:hyperlink>
    </w:p>
    <w:p w14:paraId="0F0CB6E8" w14:textId="291E9BF8" w:rsidR="00776CBF" w:rsidRDefault="00776CBF">
      <w:pPr>
        <w:pStyle w:val="31"/>
        <w:rPr>
          <w:rFonts w:asciiTheme="minorHAnsi" w:eastAsiaTheme="minorEastAsia" w:hAnsiTheme="minorHAnsi" w:cstheme="minorBidi"/>
          <w:kern w:val="2"/>
          <w14:ligatures w14:val="standardContextual"/>
        </w:rPr>
      </w:pPr>
      <w:hyperlink w:anchor="_Toc201901912" w:history="1">
        <w:r w:rsidRPr="00B30F81">
          <w:rPr>
            <w:rStyle w:val="a3"/>
          </w:rPr>
          <w:t>Регион посетили эксперты Министерства финансов РФ и саморегулируемой организации «Национальная ассоциация негосударственных пенсионных фондов».</w:t>
        </w:r>
        <w:r>
          <w:rPr>
            <w:webHidden/>
          </w:rPr>
          <w:tab/>
        </w:r>
        <w:r>
          <w:rPr>
            <w:webHidden/>
          </w:rPr>
          <w:fldChar w:fldCharType="begin"/>
        </w:r>
        <w:r>
          <w:rPr>
            <w:webHidden/>
          </w:rPr>
          <w:instrText xml:space="preserve"> PAGEREF _Toc201901912 \h </w:instrText>
        </w:r>
        <w:r>
          <w:rPr>
            <w:webHidden/>
          </w:rPr>
        </w:r>
        <w:r>
          <w:rPr>
            <w:webHidden/>
          </w:rPr>
          <w:fldChar w:fldCharType="separate"/>
        </w:r>
        <w:r w:rsidR="008E3E95">
          <w:rPr>
            <w:webHidden/>
          </w:rPr>
          <w:t>25</w:t>
        </w:r>
        <w:r>
          <w:rPr>
            <w:webHidden/>
          </w:rPr>
          <w:fldChar w:fldCharType="end"/>
        </w:r>
      </w:hyperlink>
    </w:p>
    <w:p w14:paraId="75D1A8B6" w14:textId="6A08E8C2"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13" w:history="1">
        <w:r w:rsidRPr="00B30F81">
          <w:rPr>
            <w:rStyle w:val="a3"/>
            <w:noProof/>
          </w:rPr>
          <w:t>РБК Краснодар, 26.06.2025, Жители Кубани инвестировали ₽7 млрд в программу долгосрочных сбережений</w:t>
        </w:r>
        <w:r>
          <w:rPr>
            <w:noProof/>
            <w:webHidden/>
          </w:rPr>
          <w:tab/>
        </w:r>
        <w:r>
          <w:rPr>
            <w:noProof/>
            <w:webHidden/>
          </w:rPr>
          <w:fldChar w:fldCharType="begin"/>
        </w:r>
        <w:r>
          <w:rPr>
            <w:noProof/>
            <w:webHidden/>
          </w:rPr>
          <w:instrText xml:space="preserve"> PAGEREF _Toc201901913 \h </w:instrText>
        </w:r>
        <w:r>
          <w:rPr>
            <w:noProof/>
            <w:webHidden/>
          </w:rPr>
        </w:r>
        <w:r>
          <w:rPr>
            <w:noProof/>
            <w:webHidden/>
          </w:rPr>
          <w:fldChar w:fldCharType="separate"/>
        </w:r>
        <w:r w:rsidR="008E3E95">
          <w:rPr>
            <w:noProof/>
            <w:webHidden/>
          </w:rPr>
          <w:t>26</w:t>
        </w:r>
        <w:r>
          <w:rPr>
            <w:noProof/>
            <w:webHidden/>
          </w:rPr>
          <w:fldChar w:fldCharType="end"/>
        </w:r>
      </w:hyperlink>
    </w:p>
    <w:p w14:paraId="0742446F" w14:textId="24A693C8" w:rsidR="00776CBF" w:rsidRDefault="00776CBF">
      <w:pPr>
        <w:pStyle w:val="31"/>
        <w:rPr>
          <w:rFonts w:asciiTheme="minorHAnsi" w:eastAsiaTheme="minorEastAsia" w:hAnsiTheme="minorHAnsi" w:cstheme="minorBidi"/>
          <w:kern w:val="2"/>
          <w14:ligatures w14:val="standardContextual"/>
        </w:rPr>
      </w:pPr>
      <w:hyperlink w:anchor="_Toc201901914" w:history="1">
        <w:r w:rsidRPr="00B30F81">
          <w:rPr>
            <w:rStyle w:val="a3"/>
          </w:rPr>
          <w:t>С начала 2024 года жители Кубани направили более 7 млрд руб. в новую государственную программу долгосрочных сбережений. Инициатива предусматривает налоговые льготы и софинансирование со стороны государства, что делает ее привлекательной для граждан, стремящихся обеспечить финансовую подушку на будущее. Об этом сообщает пресс-служба администрации Краснодарского края.</w:t>
        </w:r>
        <w:r>
          <w:rPr>
            <w:webHidden/>
          </w:rPr>
          <w:tab/>
        </w:r>
        <w:r>
          <w:rPr>
            <w:webHidden/>
          </w:rPr>
          <w:fldChar w:fldCharType="begin"/>
        </w:r>
        <w:r>
          <w:rPr>
            <w:webHidden/>
          </w:rPr>
          <w:instrText xml:space="preserve"> PAGEREF _Toc201901914 \h </w:instrText>
        </w:r>
        <w:r>
          <w:rPr>
            <w:webHidden/>
          </w:rPr>
        </w:r>
        <w:r>
          <w:rPr>
            <w:webHidden/>
          </w:rPr>
          <w:fldChar w:fldCharType="separate"/>
        </w:r>
        <w:r w:rsidR="008E3E95">
          <w:rPr>
            <w:webHidden/>
          </w:rPr>
          <w:t>26</w:t>
        </w:r>
        <w:r>
          <w:rPr>
            <w:webHidden/>
          </w:rPr>
          <w:fldChar w:fldCharType="end"/>
        </w:r>
      </w:hyperlink>
    </w:p>
    <w:p w14:paraId="1448029C" w14:textId="3FCC359B"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15" w:history="1">
        <w:r w:rsidRPr="00B30F81">
          <w:rPr>
            <w:rStyle w:val="a3"/>
            <w:noProof/>
          </w:rPr>
          <w:t>АиФ Краснодар, 26.06.2025, Жители Кубани вложили в долгосрочные сбережения более 7 млрд рублей</w:t>
        </w:r>
        <w:r>
          <w:rPr>
            <w:noProof/>
            <w:webHidden/>
          </w:rPr>
          <w:tab/>
        </w:r>
        <w:r>
          <w:rPr>
            <w:noProof/>
            <w:webHidden/>
          </w:rPr>
          <w:fldChar w:fldCharType="begin"/>
        </w:r>
        <w:r>
          <w:rPr>
            <w:noProof/>
            <w:webHidden/>
          </w:rPr>
          <w:instrText xml:space="preserve"> PAGEREF _Toc201901915 \h </w:instrText>
        </w:r>
        <w:r>
          <w:rPr>
            <w:noProof/>
            <w:webHidden/>
          </w:rPr>
        </w:r>
        <w:r>
          <w:rPr>
            <w:noProof/>
            <w:webHidden/>
          </w:rPr>
          <w:fldChar w:fldCharType="separate"/>
        </w:r>
        <w:r w:rsidR="008E3E95">
          <w:rPr>
            <w:noProof/>
            <w:webHidden/>
          </w:rPr>
          <w:t>27</w:t>
        </w:r>
        <w:r>
          <w:rPr>
            <w:noProof/>
            <w:webHidden/>
          </w:rPr>
          <w:fldChar w:fldCharType="end"/>
        </w:r>
      </w:hyperlink>
    </w:p>
    <w:p w14:paraId="2998DB90" w14:textId="38D89640" w:rsidR="00776CBF" w:rsidRDefault="00776CBF">
      <w:pPr>
        <w:pStyle w:val="31"/>
        <w:rPr>
          <w:rFonts w:asciiTheme="minorHAnsi" w:eastAsiaTheme="minorEastAsia" w:hAnsiTheme="minorHAnsi" w:cstheme="minorBidi"/>
          <w:kern w:val="2"/>
          <w14:ligatures w14:val="standardContextual"/>
        </w:rPr>
      </w:pPr>
      <w:hyperlink w:anchor="_Toc201901916" w:history="1">
        <w:r w:rsidRPr="00B30F81">
          <w:rPr>
            <w:rStyle w:val="a3"/>
          </w:rPr>
          <w:t>Жители Кубани с начала 2024 года вложили в долгосрочные сбережения более 7 млрд рублей, сообщает пресс-служба администрации Краснодарского края.</w:t>
        </w:r>
        <w:r>
          <w:rPr>
            <w:webHidden/>
          </w:rPr>
          <w:tab/>
        </w:r>
        <w:r>
          <w:rPr>
            <w:webHidden/>
          </w:rPr>
          <w:fldChar w:fldCharType="begin"/>
        </w:r>
        <w:r>
          <w:rPr>
            <w:webHidden/>
          </w:rPr>
          <w:instrText xml:space="preserve"> PAGEREF _Toc201901916 \h </w:instrText>
        </w:r>
        <w:r>
          <w:rPr>
            <w:webHidden/>
          </w:rPr>
        </w:r>
        <w:r>
          <w:rPr>
            <w:webHidden/>
          </w:rPr>
          <w:fldChar w:fldCharType="separate"/>
        </w:r>
        <w:r w:rsidR="008E3E95">
          <w:rPr>
            <w:webHidden/>
          </w:rPr>
          <w:t>27</w:t>
        </w:r>
        <w:r>
          <w:rPr>
            <w:webHidden/>
          </w:rPr>
          <w:fldChar w:fldCharType="end"/>
        </w:r>
      </w:hyperlink>
    </w:p>
    <w:p w14:paraId="682BE253" w14:textId="3AC60BA6"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17" w:history="1">
        <w:r w:rsidRPr="00B30F81">
          <w:rPr>
            <w:rStyle w:val="a3"/>
            <w:noProof/>
          </w:rPr>
          <w:t>Весть, 26.06.2025, Жители Калужской области все чаще начинают пользоваться долгосрочными сбережениями</w:t>
        </w:r>
        <w:r>
          <w:rPr>
            <w:noProof/>
            <w:webHidden/>
          </w:rPr>
          <w:tab/>
        </w:r>
        <w:r>
          <w:rPr>
            <w:noProof/>
            <w:webHidden/>
          </w:rPr>
          <w:fldChar w:fldCharType="begin"/>
        </w:r>
        <w:r>
          <w:rPr>
            <w:noProof/>
            <w:webHidden/>
          </w:rPr>
          <w:instrText xml:space="preserve"> PAGEREF _Toc201901917 \h </w:instrText>
        </w:r>
        <w:r>
          <w:rPr>
            <w:noProof/>
            <w:webHidden/>
          </w:rPr>
        </w:r>
        <w:r>
          <w:rPr>
            <w:noProof/>
            <w:webHidden/>
          </w:rPr>
          <w:fldChar w:fldCharType="separate"/>
        </w:r>
        <w:r w:rsidR="008E3E95">
          <w:rPr>
            <w:noProof/>
            <w:webHidden/>
          </w:rPr>
          <w:t>27</w:t>
        </w:r>
        <w:r>
          <w:rPr>
            <w:noProof/>
            <w:webHidden/>
          </w:rPr>
          <w:fldChar w:fldCharType="end"/>
        </w:r>
      </w:hyperlink>
    </w:p>
    <w:p w14:paraId="76968123" w14:textId="1F5470E5" w:rsidR="00776CBF" w:rsidRDefault="00776CBF">
      <w:pPr>
        <w:pStyle w:val="31"/>
        <w:rPr>
          <w:rFonts w:asciiTheme="minorHAnsi" w:eastAsiaTheme="minorEastAsia" w:hAnsiTheme="minorHAnsi" w:cstheme="minorBidi"/>
          <w:kern w:val="2"/>
          <w14:ligatures w14:val="standardContextual"/>
        </w:rPr>
      </w:pPr>
      <w:hyperlink w:anchor="_Toc201901918" w:history="1">
        <w:r w:rsidRPr="00B30F81">
          <w:rPr>
            <w:rStyle w:val="a3"/>
          </w:rPr>
          <w:t>Около 2,8% жителей Калужской области присоединились к программе долгосрочных сбережений (ПДС). В Калуге порядка 30 тысяч человек заключили соответствующие договора.</w:t>
        </w:r>
        <w:r>
          <w:rPr>
            <w:webHidden/>
          </w:rPr>
          <w:tab/>
        </w:r>
        <w:r>
          <w:rPr>
            <w:webHidden/>
          </w:rPr>
          <w:fldChar w:fldCharType="begin"/>
        </w:r>
        <w:r>
          <w:rPr>
            <w:webHidden/>
          </w:rPr>
          <w:instrText xml:space="preserve"> PAGEREF _Toc201901918 \h </w:instrText>
        </w:r>
        <w:r>
          <w:rPr>
            <w:webHidden/>
          </w:rPr>
        </w:r>
        <w:r>
          <w:rPr>
            <w:webHidden/>
          </w:rPr>
          <w:fldChar w:fldCharType="separate"/>
        </w:r>
        <w:r w:rsidR="008E3E95">
          <w:rPr>
            <w:webHidden/>
          </w:rPr>
          <w:t>27</w:t>
        </w:r>
        <w:r>
          <w:rPr>
            <w:webHidden/>
          </w:rPr>
          <w:fldChar w:fldCharType="end"/>
        </w:r>
      </w:hyperlink>
    </w:p>
    <w:p w14:paraId="06E506A4" w14:textId="78FF3110"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19" w:history="1">
        <w:r w:rsidRPr="00B30F81">
          <w:rPr>
            <w:rStyle w:val="a3"/>
            <w:noProof/>
          </w:rPr>
          <w:t>kaspyinfo.ru, 26.06.2025, Куда вложить 100 тысяч рублей, если они у вас есть</w:t>
        </w:r>
        <w:r>
          <w:rPr>
            <w:noProof/>
            <w:webHidden/>
          </w:rPr>
          <w:tab/>
        </w:r>
        <w:r>
          <w:rPr>
            <w:noProof/>
            <w:webHidden/>
          </w:rPr>
          <w:fldChar w:fldCharType="begin"/>
        </w:r>
        <w:r>
          <w:rPr>
            <w:noProof/>
            <w:webHidden/>
          </w:rPr>
          <w:instrText xml:space="preserve"> PAGEREF _Toc201901919 \h </w:instrText>
        </w:r>
        <w:r>
          <w:rPr>
            <w:noProof/>
            <w:webHidden/>
          </w:rPr>
        </w:r>
        <w:r>
          <w:rPr>
            <w:noProof/>
            <w:webHidden/>
          </w:rPr>
          <w:fldChar w:fldCharType="separate"/>
        </w:r>
        <w:r w:rsidR="008E3E95">
          <w:rPr>
            <w:noProof/>
            <w:webHidden/>
          </w:rPr>
          <w:t>28</w:t>
        </w:r>
        <w:r>
          <w:rPr>
            <w:noProof/>
            <w:webHidden/>
          </w:rPr>
          <w:fldChar w:fldCharType="end"/>
        </w:r>
      </w:hyperlink>
    </w:p>
    <w:p w14:paraId="1B3C7CD9" w14:textId="2C57549A" w:rsidR="00776CBF" w:rsidRDefault="00776CBF">
      <w:pPr>
        <w:pStyle w:val="31"/>
        <w:rPr>
          <w:rFonts w:asciiTheme="minorHAnsi" w:eastAsiaTheme="minorEastAsia" w:hAnsiTheme="minorHAnsi" w:cstheme="minorBidi"/>
          <w:kern w:val="2"/>
          <w14:ligatures w14:val="standardContextual"/>
        </w:rPr>
      </w:pPr>
      <w:hyperlink w:anchor="_Toc201901920" w:history="1">
        <w:r w:rsidRPr="00B30F81">
          <w:rPr>
            <w:rStyle w:val="a3"/>
          </w:rPr>
          <w:t>Пенсии сейчас небольшие, но у многих пожилых людей есть накопления, сделанные ими ранее или «отщипываемые» от пенсии, как говорится, на черный день. Под подушкой держать их бессмысленно — инфляция сжирает, поэтому лучше вложить сбережения в финансовые инструменты, доход по которым компенсирует инфляционные потери. Расскажем о том, куда можно пристроить свои кровные, не рискуя их потерять.</w:t>
        </w:r>
        <w:r>
          <w:rPr>
            <w:webHidden/>
          </w:rPr>
          <w:tab/>
        </w:r>
        <w:r>
          <w:rPr>
            <w:webHidden/>
          </w:rPr>
          <w:fldChar w:fldCharType="begin"/>
        </w:r>
        <w:r>
          <w:rPr>
            <w:webHidden/>
          </w:rPr>
          <w:instrText xml:space="preserve"> PAGEREF _Toc201901920 \h </w:instrText>
        </w:r>
        <w:r>
          <w:rPr>
            <w:webHidden/>
          </w:rPr>
        </w:r>
        <w:r>
          <w:rPr>
            <w:webHidden/>
          </w:rPr>
          <w:fldChar w:fldCharType="separate"/>
        </w:r>
        <w:r w:rsidR="008E3E95">
          <w:rPr>
            <w:webHidden/>
          </w:rPr>
          <w:t>28</w:t>
        </w:r>
        <w:r>
          <w:rPr>
            <w:webHidden/>
          </w:rPr>
          <w:fldChar w:fldCharType="end"/>
        </w:r>
      </w:hyperlink>
    </w:p>
    <w:p w14:paraId="7A8E5E4E" w14:textId="40854E81"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21" w:history="1">
        <w:r w:rsidRPr="00B30F81">
          <w:rPr>
            <w:rStyle w:val="a3"/>
            <w:noProof/>
          </w:rPr>
          <w:t>НИА Самара, 26.06.2025, «Финансовый десант» высадился на самарском предприятии</w:t>
        </w:r>
        <w:r>
          <w:rPr>
            <w:noProof/>
            <w:webHidden/>
          </w:rPr>
          <w:tab/>
        </w:r>
        <w:r>
          <w:rPr>
            <w:noProof/>
            <w:webHidden/>
          </w:rPr>
          <w:fldChar w:fldCharType="begin"/>
        </w:r>
        <w:r>
          <w:rPr>
            <w:noProof/>
            <w:webHidden/>
          </w:rPr>
          <w:instrText xml:space="preserve"> PAGEREF _Toc201901921 \h </w:instrText>
        </w:r>
        <w:r>
          <w:rPr>
            <w:noProof/>
            <w:webHidden/>
          </w:rPr>
        </w:r>
        <w:r>
          <w:rPr>
            <w:noProof/>
            <w:webHidden/>
          </w:rPr>
          <w:fldChar w:fldCharType="separate"/>
        </w:r>
        <w:r w:rsidR="008E3E95">
          <w:rPr>
            <w:noProof/>
            <w:webHidden/>
          </w:rPr>
          <w:t>30</w:t>
        </w:r>
        <w:r>
          <w:rPr>
            <w:noProof/>
            <w:webHidden/>
          </w:rPr>
          <w:fldChar w:fldCharType="end"/>
        </w:r>
      </w:hyperlink>
    </w:p>
    <w:p w14:paraId="42C4CF7F" w14:textId="01A7C22C" w:rsidR="00776CBF" w:rsidRDefault="00776CBF">
      <w:pPr>
        <w:pStyle w:val="31"/>
        <w:rPr>
          <w:rFonts w:asciiTheme="minorHAnsi" w:eastAsiaTheme="minorEastAsia" w:hAnsiTheme="minorHAnsi" w:cstheme="minorBidi"/>
          <w:kern w:val="2"/>
          <w14:ligatures w14:val="standardContextual"/>
        </w:rPr>
      </w:pPr>
      <w:hyperlink w:anchor="_Toc201901922" w:history="1">
        <w:r w:rsidRPr="00B30F81">
          <w:rPr>
            <w:rStyle w:val="a3"/>
          </w:rPr>
          <w:t>Первая в этом году региональная межведомственная лекция «Финансовый десант» состоялась на Самарском инновационном предприятии радиосистем. Событие организовано в рамках Всероссийской Эстафеты «Мои финансы» и Плана мероприятий, направленных на повышение финансовой грамотности и финансовой культуры населения Самарской области в 2025 году. Эксперты ответили на актуальные вопросы в сфере финансовой и налоговой грамотности.</w:t>
        </w:r>
        <w:r>
          <w:rPr>
            <w:webHidden/>
          </w:rPr>
          <w:tab/>
        </w:r>
        <w:r>
          <w:rPr>
            <w:webHidden/>
          </w:rPr>
          <w:fldChar w:fldCharType="begin"/>
        </w:r>
        <w:r>
          <w:rPr>
            <w:webHidden/>
          </w:rPr>
          <w:instrText xml:space="preserve"> PAGEREF _Toc201901922 \h </w:instrText>
        </w:r>
        <w:r>
          <w:rPr>
            <w:webHidden/>
          </w:rPr>
        </w:r>
        <w:r>
          <w:rPr>
            <w:webHidden/>
          </w:rPr>
          <w:fldChar w:fldCharType="separate"/>
        </w:r>
        <w:r w:rsidR="008E3E95">
          <w:rPr>
            <w:webHidden/>
          </w:rPr>
          <w:t>30</w:t>
        </w:r>
        <w:r>
          <w:rPr>
            <w:webHidden/>
          </w:rPr>
          <w:fldChar w:fldCharType="end"/>
        </w:r>
      </w:hyperlink>
    </w:p>
    <w:p w14:paraId="13590A0A" w14:textId="30B5EE40" w:rsidR="00776CBF" w:rsidRDefault="00776CB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901923" w:history="1">
        <w:r w:rsidRPr="00B30F8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_Toc201901923 \h </w:instrText>
        </w:r>
        <w:r>
          <w:rPr>
            <w:noProof/>
            <w:webHidden/>
          </w:rPr>
        </w:r>
        <w:r>
          <w:rPr>
            <w:noProof/>
            <w:webHidden/>
          </w:rPr>
          <w:fldChar w:fldCharType="separate"/>
        </w:r>
        <w:r w:rsidR="008E3E95">
          <w:rPr>
            <w:noProof/>
            <w:webHidden/>
          </w:rPr>
          <w:t>31</w:t>
        </w:r>
        <w:r>
          <w:rPr>
            <w:noProof/>
            <w:webHidden/>
          </w:rPr>
          <w:fldChar w:fldCharType="end"/>
        </w:r>
      </w:hyperlink>
    </w:p>
    <w:p w14:paraId="59E2DF5F" w14:textId="6952F609"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24" w:history="1">
        <w:r w:rsidRPr="00B30F81">
          <w:rPr>
            <w:rStyle w:val="a3"/>
            <w:noProof/>
          </w:rPr>
          <w:t>Парламентская газета, 26.06.2025, Некоторым россиянкам пересчитают пенсии с 2026 года</w:t>
        </w:r>
        <w:r>
          <w:rPr>
            <w:noProof/>
            <w:webHidden/>
          </w:rPr>
          <w:tab/>
        </w:r>
        <w:r>
          <w:rPr>
            <w:noProof/>
            <w:webHidden/>
          </w:rPr>
          <w:fldChar w:fldCharType="begin"/>
        </w:r>
        <w:r>
          <w:rPr>
            <w:noProof/>
            <w:webHidden/>
          </w:rPr>
          <w:instrText xml:space="preserve"> PAGEREF _Toc201901924 \h </w:instrText>
        </w:r>
        <w:r>
          <w:rPr>
            <w:noProof/>
            <w:webHidden/>
          </w:rPr>
        </w:r>
        <w:r>
          <w:rPr>
            <w:noProof/>
            <w:webHidden/>
          </w:rPr>
          <w:fldChar w:fldCharType="separate"/>
        </w:r>
        <w:r w:rsidR="008E3E95">
          <w:rPr>
            <w:noProof/>
            <w:webHidden/>
          </w:rPr>
          <w:t>31</w:t>
        </w:r>
        <w:r>
          <w:rPr>
            <w:noProof/>
            <w:webHidden/>
          </w:rPr>
          <w:fldChar w:fldCharType="end"/>
        </w:r>
      </w:hyperlink>
    </w:p>
    <w:p w14:paraId="6FA03320" w14:textId="0C6C0D36" w:rsidR="00776CBF" w:rsidRDefault="00776CBF">
      <w:pPr>
        <w:pStyle w:val="31"/>
        <w:rPr>
          <w:rFonts w:asciiTheme="minorHAnsi" w:eastAsiaTheme="minorEastAsia" w:hAnsiTheme="minorHAnsi" w:cstheme="minorBidi"/>
          <w:kern w:val="2"/>
          <w14:ligatures w14:val="standardContextual"/>
        </w:rPr>
      </w:pPr>
      <w:hyperlink w:anchor="_Toc201901925" w:history="1">
        <w:r w:rsidRPr="00B30F81">
          <w:rPr>
            <w:rStyle w:val="a3"/>
          </w:rPr>
          <w:t>Страховой стаж с учетом всех детей пересчитают почти 400 тысячам россиянок, сообщил председатель Социального фонда Сергей Чирков в интервью СМИ. Это увеличит пенсионные выплаты матерям, имеющим пять и более детей. Нововведения коснутся и тех, кто уже вышел на пенсию. «Парламентская газета» — с подробностями.</w:t>
        </w:r>
        <w:r>
          <w:rPr>
            <w:webHidden/>
          </w:rPr>
          <w:tab/>
        </w:r>
        <w:r>
          <w:rPr>
            <w:webHidden/>
          </w:rPr>
          <w:fldChar w:fldCharType="begin"/>
        </w:r>
        <w:r>
          <w:rPr>
            <w:webHidden/>
          </w:rPr>
          <w:instrText xml:space="preserve"> PAGEREF _Toc201901925 \h </w:instrText>
        </w:r>
        <w:r>
          <w:rPr>
            <w:webHidden/>
          </w:rPr>
        </w:r>
        <w:r>
          <w:rPr>
            <w:webHidden/>
          </w:rPr>
          <w:fldChar w:fldCharType="separate"/>
        </w:r>
        <w:r w:rsidR="008E3E95">
          <w:rPr>
            <w:webHidden/>
          </w:rPr>
          <w:t>31</w:t>
        </w:r>
        <w:r>
          <w:rPr>
            <w:webHidden/>
          </w:rPr>
          <w:fldChar w:fldCharType="end"/>
        </w:r>
      </w:hyperlink>
    </w:p>
    <w:p w14:paraId="6FD636E0" w14:textId="4012CB32"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26" w:history="1">
        <w:r w:rsidRPr="00B30F81">
          <w:rPr>
            <w:rStyle w:val="a3"/>
            <w:noProof/>
          </w:rPr>
          <w:t>Парламентская газета, 27.06.2025, Женщинам с пятью и более детьми увеличат пенсию</w:t>
        </w:r>
        <w:r>
          <w:rPr>
            <w:noProof/>
            <w:webHidden/>
          </w:rPr>
          <w:tab/>
        </w:r>
        <w:r>
          <w:rPr>
            <w:noProof/>
            <w:webHidden/>
          </w:rPr>
          <w:fldChar w:fldCharType="begin"/>
        </w:r>
        <w:r>
          <w:rPr>
            <w:noProof/>
            <w:webHidden/>
          </w:rPr>
          <w:instrText xml:space="preserve"> PAGEREF _Toc201901926 \h </w:instrText>
        </w:r>
        <w:r>
          <w:rPr>
            <w:noProof/>
            <w:webHidden/>
          </w:rPr>
        </w:r>
        <w:r>
          <w:rPr>
            <w:noProof/>
            <w:webHidden/>
          </w:rPr>
          <w:fldChar w:fldCharType="separate"/>
        </w:r>
        <w:r w:rsidR="008E3E95">
          <w:rPr>
            <w:noProof/>
            <w:webHidden/>
          </w:rPr>
          <w:t>33</w:t>
        </w:r>
        <w:r>
          <w:rPr>
            <w:noProof/>
            <w:webHidden/>
          </w:rPr>
          <w:fldChar w:fldCharType="end"/>
        </w:r>
      </w:hyperlink>
    </w:p>
    <w:p w14:paraId="08043114" w14:textId="17F68BFF" w:rsidR="00776CBF" w:rsidRDefault="00776CBF">
      <w:pPr>
        <w:pStyle w:val="31"/>
        <w:rPr>
          <w:rFonts w:asciiTheme="minorHAnsi" w:eastAsiaTheme="minorEastAsia" w:hAnsiTheme="minorHAnsi" w:cstheme="minorBidi"/>
          <w:kern w:val="2"/>
          <w14:ligatures w14:val="standardContextual"/>
        </w:rPr>
      </w:pPr>
      <w:hyperlink w:anchor="_Toc201901927" w:history="1">
        <w:r w:rsidRPr="00B30F81">
          <w:rPr>
            <w:rStyle w:val="a3"/>
          </w:rPr>
          <w:t>Страховой стаж с учетом всех детей пересчитают почти 400 тысячам россиянок, сообщил председатель Социального фонда Сергей Чирков в интервью СМИ.</w:t>
        </w:r>
        <w:r>
          <w:rPr>
            <w:webHidden/>
          </w:rPr>
          <w:tab/>
        </w:r>
        <w:r>
          <w:rPr>
            <w:webHidden/>
          </w:rPr>
          <w:fldChar w:fldCharType="begin"/>
        </w:r>
        <w:r>
          <w:rPr>
            <w:webHidden/>
          </w:rPr>
          <w:instrText xml:space="preserve"> PAGEREF _Toc201901927 \h </w:instrText>
        </w:r>
        <w:r>
          <w:rPr>
            <w:webHidden/>
          </w:rPr>
        </w:r>
        <w:r>
          <w:rPr>
            <w:webHidden/>
          </w:rPr>
          <w:fldChar w:fldCharType="separate"/>
        </w:r>
        <w:r w:rsidR="008E3E95">
          <w:rPr>
            <w:webHidden/>
          </w:rPr>
          <w:t>33</w:t>
        </w:r>
        <w:r>
          <w:rPr>
            <w:webHidden/>
          </w:rPr>
          <w:fldChar w:fldCharType="end"/>
        </w:r>
      </w:hyperlink>
    </w:p>
    <w:p w14:paraId="23DB8FEE" w14:textId="19A2FF7D"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28" w:history="1">
        <w:r w:rsidRPr="00B30F81">
          <w:rPr>
            <w:rStyle w:val="a3"/>
            <w:noProof/>
          </w:rPr>
          <w:t>Парламентская газета, 27.06.2025, В России может появиться новый вид социальной пенсии</w:t>
        </w:r>
        <w:r>
          <w:rPr>
            <w:noProof/>
            <w:webHidden/>
          </w:rPr>
          <w:tab/>
        </w:r>
        <w:r>
          <w:rPr>
            <w:noProof/>
            <w:webHidden/>
          </w:rPr>
          <w:fldChar w:fldCharType="begin"/>
        </w:r>
        <w:r>
          <w:rPr>
            <w:noProof/>
            <w:webHidden/>
          </w:rPr>
          <w:instrText xml:space="preserve"> PAGEREF _Toc201901928 \h </w:instrText>
        </w:r>
        <w:r>
          <w:rPr>
            <w:noProof/>
            <w:webHidden/>
          </w:rPr>
        </w:r>
        <w:r>
          <w:rPr>
            <w:noProof/>
            <w:webHidden/>
          </w:rPr>
          <w:fldChar w:fldCharType="separate"/>
        </w:r>
        <w:r w:rsidR="008E3E95">
          <w:rPr>
            <w:noProof/>
            <w:webHidden/>
          </w:rPr>
          <w:t>33</w:t>
        </w:r>
        <w:r>
          <w:rPr>
            <w:noProof/>
            <w:webHidden/>
          </w:rPr>
          <w:fldChar w:fldCharType="end"/>
        </w:r>
      </w:hyperlink>
    </w:p>
    <w:p w14:paraId="392D51C3" w14:textId="5A2D8BFC" w:rsidR="00776CBF" w:rsidRDefault="00776CBF">
      <w:pPr>
        <w:pStyle w:val="31"/>
        <w:rPr>
          <w:rFonts w:asciiTheme="minorHAnsi" w:eastAsiaTheme="minorEastAsia" w:hAnsiTheme="minorHAnsi" w:cstheme="minorBidi"/>
          <w:kern w:val="2"/>
          <w14:ligatures w14:val="standardContextual"/>
        </w:rPr>
      </w:pPr>
      <w:hyperlink w:anchor="_Toc201901929" w:history="1">
        <w:r w:rsidRPr="00B30F81">
          <w:rPr>
            <w:rStyle w:val="a3"/>
          </w:rPr>
          <w:t>В Госдуме активно обсуждают изменения в федеральный закон, которые должны определить новый вид социальной пенсии - выплаты детям, рожденным по истечении трехсот дней со дня смерти человека, отцовство которого установлено в судебном порядке. Внести коррективы сенаторы предложили после прецедентного решения Конституционного суда о назначении соцподдержки ребенку, зачатому с помощью вспомогательных репродуктивных технологий. Комитет Госдумы по защите семьи, вопросам отцовства, материнства и детства перенес рассмотрение законопроекта на неделю, попросив себе время для дополнительных консультаций.</w:t>
        </w:r>
        <w:r>
          <w:rPr>
            <w:webHidden/>
          </w:rPr>
          <w:tab/>
        </w:r>
        <w:r>
          <w:rPr>
            <w:webHidden/>
          </w:rPr>
          <w:fldChar w:fldCharType="begin"/>
        </w:r>
        <w:r>
          <w:rPr>
            <w:webHidden/>
          </w:rPr>
          <w:instrText xml:space="preserve"> PAGEREF _Toc201901929 \h </w:instrText>
        </w:r>
        <w:r>
          <w:rPr>
            <w:webHidden/>
          </w:rPr>
        </w:r>
        <w:r>
          <w:rPr>
            <w:webHidden/>
          </w:rPr>
          <w:fldChar w:fldCharType="separate"/>
        </w:r>
        <w:r w:rsidR="008E3E95">
          <w:rPr>
            <w:webHidden/>
          </w:rPr>
          <w:t>33</w:t>
        </w:r>
        <w:r>
          <w:rPr>
            <w:webHidden/>
          </w:rPr>
          <w:fldChar w:fldCharType="end"/>
        </w:r>
      </w:hyperlink>
    </w:p>
    <w:p w14:paraId="1AA67770" w14:textId="268C0155"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30" w:history="1">
        <w:r w:rsidRPr="00B30F81">
          <w:rPr>
            <w:rStyle w:val="a3"/>
            <w:noProof/>
          </w:rPr>
          <w:t>RT, 26.06.2025, Сенатор Епифанова назвала категории россиян, которым повысят пенсию в июле</w:t>
        </w:r>
        <w:r>
          <w:rPr>
            <w:noProof/>
            <w:webHidden/>
          </w:rPr>
          <w:tab/>
        </w:r>
        <w:r>
          <w:rPr>
            <w:noProof/>
            <w:webHidden/>
          </w:rPr>
          <w:fldChar w:fldCharType="begin"/>
        </w:r>
        <w:r>
          <w:rPr>
            <w:noProof/>
            <w:webHidden/>
          </w:rPr>
          <w:instrText xml:space="preserve"> PAGEREF _Toc201901930 \h </w:instrText>
        </w:r>
        <w:r>
          <w:rPr>
            <w:noProof/>
            <w:webHidden/>
          </w:rPr>
        </w:r>
        <w:r>
          <w:rPr>
            <w:noProof/>
            <w:webHidden/>
          </w:rPr>
          <w:fldChar w:fldCharType="separate"/>
        </w:r>
        <w:r w:rsidR="008E3E95">
          <w:rPr>
            <w:noProof/>
            <w:webHidden/>
          </w:rPr>
          <w:t>34</w:t>
        </w:r>
        <w:r>
          <w:rPr>
            <w:noProof/>
            <w:webHidden/>
          </w:rPr>
          <w:fldChar w:fldCharType="end"/>
        </w:r>
      </w:hyperlink>
    </w:p>
    <w:p w14:paraId="7F40D61B" w14:textId="1ACA006A" w:rsidR="00776CBF" w:rsidRDefault="00776CBF">
      <w:pPr>
        <w:pStyle w:val="31"/>
        <w:rPr>
          <w:rFonts w:asciiTheme="minorHAnsi" w:eastAsiaTheme="minorEastAsia" w:hAnsiTheme="minorHAnsi" w:cstheme="minorBidi"/>
          <w:kern w:val="2"/>
          <w14:ligatures w14:val="standardContextual"/>
        </w:rPr>
      </w:pPr>
      <w:hyperlink w:anchor="_Toc201901931" w:history="1">
        <w:r w:rsidRPr="00B30F81">
          <w:rPr>
            <w:rStyle w:val="a3"/>
          </w:rPr>
          <w:t>Пенсионерам, которым в июне исполнилось 80 лет, в июле автоматически удвоят фиксированную часть страховой пенсии - с 8907,70 до 17 815,40 рубля, рассказала в беседе с RT сенатор Ольга Епифанова.</w:t>
        </w:r>
        <w:r>
          <w:rPr>
            <w:webHidden/>
          </w:rPr>
          <w:tab/>
        </w:r>
        <w:r>
          <w:rPr>
            <w:webHidden/>
          </w:rPr>
          <w:fldChar w:fldCharType="begin"/>
        </w:r>
        <w:r>
          <w:rPr>
            <w:webHidden/>
          </w:rPr>
          <w:instrText xml:space="preserve"> PAGEREF _Toc201901931 \h </w:instrText>
        </w:r>
        <w:r>
          <w:rPr>
            <w:webHidden/>
          </w:rPr>
        </w:r>
        <w:r>
          <w:rPr>
            <w:webHidden/>
          </w:rPr>
          <w:fldChar w:fldCharType="separate"/>
        </w:r>
        <w:r w:rsidR="008E3E95">
          <w:rPr>
            <w:webHidden/>
          </w:rPr>
          <w:t>34</w:t>
        </w:r>
        <w:r>
          <w:rPr>
            <w:webHidden/>
          </w:rPr>
          <w:fldChar w:fldCharType="end"/>
        </w:r>
      </w:hyperlink>
    </w:p>
    <w:p w14:paraId="7562C284" w14:textId="5CDC9B43"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32" w:history="1">
        <w:r w:rsidRPr="00B30F81">
          <w:rPr>
            <w:rStyle w:val="a3"/>
            <w:noProof/>
          </w:rPr>
          <w:t>ТАСС, 26.06.2025, Соцфонд: с 1 июля 700 тыс. человек со стажем на украине смогут увеличить пенсии</w:t>
        </w:r>
        <w:r>
          <w:rPr>
            <w:noProof/>
            <w:webHidden/>
          </w:rPr>
          <w:tab/>
        </w:r>
        <w:r>
          <w:rPr>
            <w:noProof/>
            <w:webHidden/>
          </w:rPr>
          <w:fldChar w:fldCharType="begin"/>
        </w:r>
        <w:r>
          <w:rPr>
            <w:noProof/>
            <w:webHidden/>
          </w:rPr>
          <w:instrText xml:space="preserve"> PAGEREF _Toc201901932 \h </w:instrText>
        </w:r>
        <w:r>
          <w:rPr>
            <w:noProof/>
            <w:webHidden/>
          </w:rPr>
        </w:r>
        <w:r>
          <w:rPr>
            <w:noProof/>
            <w:webHidden/>
          </w:rPr>
          <w:fldChar w:fldCharType="separate"/>
        </w:r>
        <w:r w:rsidR="008E3E95">
          <w:rPr>
            <w:noProof/>
            <w:webHidden/>
          </w:rPr>
          <w:t>34</w:t>
        </w:r>
        <w:r>
          <w:rPr>
            <w:noProof/>
            <w:webHidden/>
          </w:rPr>
          <w:fldChar w:fldCharType="end"/>
        </w:r>
      </w:hyperlink>
    </w:p>
    <w:p w14:paraId="68CD33C4" w14:textId="45E6D19D" w:rsidR="00776CBF" w:rsidRDefault="00776CBF">
      <w:pPr>
        <w:pStyle w:val="31"/>
        <w:rPr>
          <w:rFonts w:asciiTheme="minorHAnsi" w:eastAsiaTheme="minorEastAsia" w:hAnsiTheme="minorHAnsi" w:cstheme="minorBidi"/>
          <w:kern w:val="2"/>
          <w14:ligatures w14:val="standardContextual"/>
        </w:rPr>
      </w:pPr>
      <w:hyperlink w:anchor="_Toc201901933" w:history="1">
        <w:r w:rsidRPr="00B30F81">
          <w:rPr>
            <w:rStyle w:val="a3"/>
          </w:rPr>
          <w:t>Более 700 тыс. человек, у которых есть периоды работы на Украине, смогут увеличить свои пенсии с 1 июля 2025 года. Об этом в интервью ТАСС сообщил председатель Социального фонда России Сергей Чирков.</w:t>
        </w:r>
        <w:r>
          <w:rPr>
            <w:webHidden/>
          </w:rPr>
          <w:tab/>
        </w:r>
        <w:r>
          <w:rPr>
            <w:webHidden/>
          </w:rPr>
          <w:fldChar w:fldCharType="begin"/>
        </w:r>
        <w:r>
          <w:rPr>
            <w:webHidden/>
          </w:rPr>
          <w:instrText xml:space="preserve"> PAGEREF _Toc201901933 \h </w:instrText>
        </w:r>
        <w:r>
          <w:rPr>
            <w:webHidden/>
          </w:rPr>
        </w:r>
        <w:r>
          <w:rPr>
            <w:webHidden/>
          </w:rPr>
          <w:fldChar w:fldCharType="separate"/>
        </w:r>
        <w:r w:rsidR="008E3E95">
          <w:rPr>
            <w:webHidden/>
          </w:rPr>
          <w:t>34</w:t>
        </w:r>
        <w:r>
          <w:rPr>
            <w:webHidden/>
          </w:rPr>
          <w:fldChar w:fldCharType="end"/>
        </w:r>
      </w:hyperlink>
    </w:p>
    <w:p w14:paraId="2347E31C" w14:textId="1865ADF4"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34" w:history="1">
        <w:r w:rsidRPr="00B30F81">
          <w:rPr>
            <w:rStyle w:val="a3"/>
            <w:noProof/>
          </w:rPr>
          <w:t>Информер, 26.06.2025, С 2026 года россиянкам пересчитают пенсии, но не всем</w:t>
        </w:r>
        <w:r>
          <w:rPr>
            <w:noProof/>
            <w:webHidden/>
          </w:rPr>
          <w:tab/>
        </w:r>
        <w:r>
          <w:rPr>
            <w:noProof/>
            <w:webHidden/>
          </w:rPr>
          <w:fldChar w:fldCharType="begin"/>
        </w:r>
        <w:r>
          <w:rPr>
            <w:noProof/>
            <w:webHidden/>
          </w:rPr>
          <w:instrText xml:space="preserve"> PAGEREF _Toc201901934 \h </w:instrText>
        </w:r>
        <w:r>
          <w:rPr>
            <w:noProof/>
            <w:webHidden/>
          </w:rPr>
        </w:r>
        <w:r>
          <w:rPr>
            <w:noProof/>
            <w:webHidden/>
          </w:rPr>
          <w:fldChar w:fldCharType="separate"/>
        </w:r>
        <w:r w:rsidR="008E3E95">
          <w:rPr>
            <w:noProof/>
            <w:webHidden/>
          </w:rPr>
          <w:t>35</w:t>
        </w:r>
        <w:r>
          <w:rPr>
            <w:noProof/>
            <w:webHidden/>
          </w:rPr>
          <w:fldChar w:fldCharType="end"/>
        </w:r>
      </w:hyperlink>
    </w:p>
    <w:p w14:paraId="17E07B25" w14:textId="1937E714" w:rsidR="00776CBF" w:rsidRDefault="00776CBF">
      <w:pPr>
        <w:pStyle w:val="31"/>
        <w:rPr>
          <w:rFonts w:asciiTheme="minorHAnsi" w:eastAsiaTheme="minorEastAsia" w:hAnsiTheme="minorHAnsi" w:cstheme="minorBidi"/>
          <w:kern w:val="2"/>
          <w14:ligatures w14:val="standardContextual"/>
        </w:rPr>
      </w:pPr>
      <w:hyperlink w:anchor="_Toc201901935" w:history="1">
        <w:r w:rsidRPr="00B30F81">
          <w:rPr>
            <w:rStyle w:val="a3"/>
          </w:rPr>
          <w:t>Страховой стаж российских матерей, воспитывающих пятерых и более детей, пересчитают для повышения пенсионных выплат. Это коснется около 400 тысяч женщин. Об этом сообщил Сергей Чирков, глава Социального фонда.</w:t>
        </w:r>
        <w:r>
          <w:rPr>
            <w:webHidden/>
          </w:rPr>
          <w:tab/>
        </w:r>
        <w:r>
          <w:rPr>
            <w:webHidden/>
          </w:rPr>
          <w:fldChar w:fldCharType="begin"/>
        </w:r>
        <w:r>
          <w:rPr>
            <w:webHidden/>
          </w:rPr>
          <w:instrText xml:space="preserve"> PAGEREF _Toc201901935 \h </w:instrText>
        </w:r>
        <w:r>
          <w:rPr>
            <w:webHidden/>
          </w:rPr>
        </w:r>
        <w:r>
          <w:rPr>
            <w:webHidden/>
          </w:rPr>
          <w:fldChar w:fldCharType="separate"/>
        </w:r>
        <w:r w:rsidR="008E3E95">
          <w:rPr>
            <w:webHidden/>
          </w:rPr>
          <w:t>35</w:t>
        </w:r>
        <w:r>
          <w:rPr>
            <w:webHidden/>
          </w:rPr>
          <w:fldChar w:fldCharType="end"/>
        </w:r>
      </w:hyperlink>
    </w:p>
    <w:p w14:paraId="19E10958" w14:textId="33530A2F"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36" w:history="1">
        <w:r w:rsidRPr="00B30F81">
          <w:rPr>
            <w:rStyle w:val="a3"/>
            <w:noProof/>
          </w:rPr>
          <w:t>Подмосковье сегодня, 25.06.2025, Не только по старости: кто в России может получать несколько пенсий одновременно</w:t>
        </w:r>
        <w:r>
          <w:rPr>
            <w:noProof/>
            <w:webHidden/>
          </w:rPr>
          <w:tab/>
        </w:r>
        <w:r>
          <w:rPr>
            <w:noProof/>
            <w:webHidden/>
          </w:rPr>
          <w:fldChar w:fldCharType="begin"/>
        </w:r>
        <w:r>
          <w:rPr>
            <w:noProof/>
            <w:webHidden/>
          </w:rPr>
          <w:instrText xml:space="preserve"> PAGEREF _Toc201901936 \h </w:instrText>
        </w:r>
        <w:r>
          <w:rPr>
            <w:noProof/>
            <w:webHidden/>
          </w:rPr>
        </w:r>
        <w:r>
          <w:rPr>
            <w:noProof/>
            <w:webHidden/>
          </w:rPr>
          <w:fldChar w:fldCharType="separate"/>
        </w:r>
        <w:r w:rsidR="008E3E95">
          <w:rPr>
            <w:noProof/>
            <w:webHidden/>
          </w:rPr>
          <w:t>36</w:t>
        </w:r>
        <w:r>
          <w:rPr>
            <w:noProof/>
            <w:webHidden/>
          </w:rPr>
          <w:fldChar w:fldCharType="end"/>
        </w:r>
      </w:hyperlink>
    </w:p>
    <w:p w14:paraId="693032B5" w14:textId="72FF5165" w:rsidR="00776CBF" w:rsidRDefault="00776CBF">
      <w:pPr>
        <w:pStyle w:val="31"/>
        <w:rPr>
          <w:rFonts w:asciiTheme="minorHAnsi" w:eastAsiaTheme="minorEastAsia" w:hAnsiTheme="minorHAnsi" w:cstheme="minorBidi"/>
          <w:kern w:val="2"/>
          <w14:ligatures w14:val="standardContextual"/>
        </w:rPr>
      </w:pPr>
      <w:hyperlink w:anchor="_Toc201901937" w:history="1">
        <w:r w:rsidRPr="00B30F81">
          <w:rPr>
            <w:rStyle w:val="a3"/>
          </w:rPr>
          <w:t>В российском законодательстве предусмотрена возможность получения сразу нескольких пенсий одновременно. Однако таких «счастливчиков» не очень много, и явление не массовое, а скорее исключение, рассказала интернет-изданию «Подмосковье сегодня» доктор экономических наук, профессор РЭУ им. Г.В. Плеханова Наталья Проданова.</w:t>
        </w:r>
        <w:r>
          <w:rPr>
            <w:webHidden/>
          </w:rPr>
          <w:tab/>
        </w:r>
        <w:r>
          <w:rPr>
            <w:webHidden/>
          </w:rPr>
          <w:fldChar w:fldCharType="begin"/>
        </w:r>
        <w:r>
          <w:rPr>
            <w:webHidden/>
          </w:rPr>
          <w:instrText xml:space="preserve"> PAGEREF _Toc201901937 \h </w:instrText>
        </w:r>
        <w:r>
          <w:rPr>
            <w:webHidden/>
          </w:rPr>
        </w:r>
        <w:r>
          <w:rPr>
            <w:webHidden/>
          </w:rPr>
          <w:fldChar w:fldCharType="separate"/>
        </w:r>
        <w:r w:rsidR="008E3E95">
          <w:rPr>
            <w:webHidden/>
          </w:rPr>
          <w:t>36</w:t>
        </w:r>
        <w:r>
          <w:rPr>
            <w:webHidden/>
          </w:rPr>
          <w:fldChar w:fldCharType="end"/>
        </w:r>
      </w:hyperlink>
    </w:p>
    <w:p w14:paraId="79163D5D" w14:textId="5AAB6ADF"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38" w:history="1">
        <w:r w:rsidRPr="00B30F81">
          <w:rPr>
            <w:rStyle w:val="a3"/>
            <w:noProof/>
          </w:rPr>
          <w:t>Мир новостей, 26.06.2025, Константин ЛЫБА, Накопительная пенсия - по наследству</w:t>
        </w:r>
        <w:r>
          <w:rPr>
            <w:noProof/>
            <w:webHidden/>
          </w:rPr>
          <w:tab/>
        </w:r>
        <w:r>
          <w:rPr>
            <w:noProof/>
            <w:webHidden/>
          </w:rPr>
          <w:fldChar w:fldCharType="begin"/>
        </w:r>
        <w:r>
          <w:rPr>
            <w:noProof/>
            <w:webHidden/>
          </w:rPr>
          <w:instrText xml:space="preserve"> PAGEREF _Toc201901938 \h </w:instrText>
        </w:r>
        <w:r>
          <w:rPr>
            <w:noProof/>
            <w:webHidden/>
          </w:rPr>
        </w:r>
        <w:r>
          <w:rPr>
            <w:noProof/>
            <w:webHidden/>
          </w:rPr>
          <w:fldChar w:fldCharType="separate"/>
        </w:r>
        <w:r w:rsidR="008E3E95">
          <w:rPr>
            <w:noProof/>
            <w:webHidden/>
          </w:rPr>
          <w:t>37</w:t>
        </w:r>
        <w:r>
          <w:rPr>
            <w:noProof/>
            <w:webHidden/>
          </w:rPr>
          <w:fldChar w:fldCharType="end"/>
        </w:r>
      </w:hyperlink>
    </w:p>
    <w:p w14:paraId="653D2367" w14:textId="2C1A944F" w:rsidR="00776CBF" w:rsidRDefault="00776CBF">
      <w:pPr>
        <w:pStyle w:val="31"/>
        <w:rPr>
          <w:rFonts w:asciiTheme="minorHAnsi" w:eastAsiaTheme="minorEastAsia" w:hAnsiTheme="minorHAnsi" w:cstheme="minorBidi"/>
          <w:kern w:val="2"/>
          <w14:ligatures w14:val="standardContextual"/>
        </w:rPr>
      </w:pPr>
      <w:hyperlink w:anchor="_Toc201901939" w:history="1">
        <w:r w:rsidRPr="00B30F81">
          <w:rPr>
            <w:rStyle w:val="a3"/>
          </w:rPr>
          <w:t>В Госдуме предложили разрешить передачу пенсионных накоплений по наследству. Речь идет о тех деньгах, которые россияне откладывали на старость с 2002-го по 2014-й годы. Они формировались за счет взносов работодателя или самих будущих пенсионеров. Сейчас накопительная часть пенсии передается по наследству только в двух случаях: если человек умер до назначения пенсии или если он выбирал срочный, а не пожизненный порядок выплат. В Госдуме подготовили законопроект, который даст право родственникам претендовать на такое наследство, в том числе и после назначения бессрочной выплаты.</w:t>
        </w:r>
        <w:r>
          <w:rPr>
            <w:webHidden/>
          </w:rPr>
          <w:tab/>
        </w:r>
        <w:r>
          <w:rPr>
            <w:webHidden/>
          </w:rPr>
          <w:fldChar w:fldCharType="begin"/>
        </w:r>
        <w:r>
          <w:rPr>
            <w:webHidden/>
          </w:rPr>
          <w:instrText xml:space="preserve"> PAGEREF _Toc201901939 \h </w:instrText>
        </w:r>
        <w:r>
          <w:rPr>
            <w:webHidden/>
          </w:rPr>
        </w:r>
        <w:r>
          <w:rPr>
            <w:webHidden/>
          </w:rPr>
          <w:fldChar w:fldCharType="separate"/>
        </w:r>
        <w:r w:rsidR="008E3E95">
          <w:rPr>
            <w:webHidden/>
          </w:rPr>
          <w:t>37</w:t>
        </w:r>
        <w:r>
          <w:rPr>
            <w:webHidden/>
          </w:rPr>
          <w:fldChar w:fldCharType="end"/>
        </w:r>
      </w:hyperlink>
    </w:p>
    <w:p w14:paraId="758401C1" w14:textId="48646EED"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40" w:history="1">
        <w:r w:rsidRPr="00B30F81">
          <w:rPr>
            <w:rStyle w:val="a3"/>
            <w:noProof/>
            <w:lang w:val="en-US"/>
          </w:rPr>
          <w:t>Viralife</w:t>
        </w:r>
        <w:r w:rsidRPr="00B30F81">
          <w:rPr>
            <w:rStyle w:val="a3"/>
            <w:noProof/>
          </w:rPr>
          <w:t>, 26.06.2025, Накопительная пенсия - по наследству</w:t>
        </w:r>
        <w:r>
          <w:rPr>
            <w:noProof/>
            <w:webHidden/>
          </w:rPr>
          <w:tab/>
        </w:r>
        <w:r>
          <w:rPr>
            <w:noProof/>
            <w:webHidden/>
          </w:rPr>
          <w:fldChar w:fldCharType="begin"/>
        </w:r>
        <w:r>
          <w:rPr>
            <w:noProof/>
            <w:webHidden/>
          </w:rPr>
          <w:instrText xml:space="preserve"> PAGEREF _Toc201901940 \h </w:instrText>
        </w:r>
        <w:r>
          <w:rPr>
            <w:noProof/>
            <w:webHidden/>
          </w:rPr>
        </w:r>
        <w:r>
          <w:rPr>
            <w:noProof/>
            <w:webHidden/>
          </w:rPr>
          <w:fldChar w:fldCharType="separate"/>
        </w:r>
        <w:r w:rsidR="008E3E95">
          <w:rPr>
            <w:noProof/>
            <w:webHidden/>
          </w:rPr>
          <w:t>38</w:t>
        </w:r>
        <w:r>
          <w:rPr>
            <w:noProof/>
            <w:webHidden/>
          </w:rPr>
          <w:fldChar w:fldCharType="end"/>
        </w:r>
      </w:hyperlink>
    </w:p>
    <w:p w14:paraId="6444330F" w14:textId="38EE60DC" w:rsidR="00776CBF" w:rsidRDefault="00776CBF">
      <w:pPr>
        <w:pStyle w:val="31"/>
        <w:rPr>
          <w:rFonts w:asciiTheme="minorHAnsi" w:eastAsiaTheme="minorEastAsia" w:hAnsiTheme="minorHAnsi" w:cstheme="minorBidi"/>
          <w:kern w:val="2"/>
          <w14:ligatures w14:val="standardContextual"/>
        </w:rPr>
      </w:pPr>
      <w:hyperlink w:anchor="_Toc201901941" w:history="1">
        <w:r w:rsidRPr="00B30F81">
          <w:rPr>
            <w:rStyle w:val="a3"/>
          </w:rPr>
          <w:t>Речь идет о тех деньгах, которые россияне откладывали на старость с 2002-го по 2014-й годы. Они формировались за счет взносов работодателя или самих будущих пенсионеров. Сейчас накопительная часть пенсии передается по наследству только в двух случаях: если человек умер до назначения пенсии или если он выбирал срочный, а не пожизненный порядок выплат. В Госдуме подготовили законопроект, который даст право родственникам претендовать на такое наследство, в том числе и после назначения бессрочной выплаты.</w:t>
        </w:r>
        <w:r>
          <w:rPr>
            <w:webHidden/>
          </w:rPr>
          <w:tab/>
        </w:r>
        <w:r>
          <w:rPr>
            <w:webHidden/>
          </w:rPr>
          <w:fldChar w:fldCharType="begin"/>
        </w:r>
        <w:r>
          <w:rPr>
            <w:webHidden/>
          </w:rPr>
          <w:instrText xml:space="preserve"> PAGEREF _Toc201901941 \h </w:instrText>
        </w:r>
        <w:r>
          <w:rPr>
            <w:webHidden/>
          </w:rPr>
        </w:r>
        <w:r>
          <w:rPr>
            <w:webHidden/>
          </w:rPr>
          <w:fldChar w:fldCharType="separate"/>
        </w:r>
        <w:r w:rsidR="008E3E95">
          <w:rPr>
            <w:webHidden/>
          </w:rPr>
          <w:t>38</w:t>
        </w:r>
        <w:r>
          <w:rPr>
            <w:webHidden/>
          </w:rPr>
          <w:fldChar w:fldCharType="end"/>
        </w:r>
      </w:hyperlink>
    </w:p>
    <w:p w14:paraId="2767C0A9" w14:textId="1526B6D0"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42" w:history="1">
        <w:r w:rsidRPr="00B30F81">
          <w:rPr>
            <w:rStyle w:val="a3"/>
            <w:noProof/>
          </w:rPr>
          <w:t>Ваш Пенсионный Брокер, 26.06.2025, Число получателей надбавки по уходу среди пенсионеров старше 80 лет выросло на 2,4 млн человек</w:t>
        </w:r>
        <w:r>
          <w:rPr>
            <w:noProof/>
            <w:webHidden/>
          </w:rPr>
          <w:tab/>
        </w:r>
        <w:r>
          <w:rPr>
            <w:noProof/>
            <w:webHidden/>
          </w:rPr>
          <w:fldChar w:fldCharType="begin"/>
        </w:r>
        <w:r>
          <w:rPr>
            <w:noProof/>
            <w:webHidden/>
          </w:rPr>
          <w:instrText xml:space="preserve"> PAGEREF _Toc201901942 \h </w:instrText>
        </w:r>
        <w:r>
          <w:rPr>
            <w:noProof/>
            <w:webHidden/>
          </w:rPr>
        </w:r>
        <w:r>
          <w:rPr>
            <w:noProof/>
            <w:webHidden/>
          </w:rPr>
          <w:fldChar w:fldCharType="separate"/>
        </w:r>
        <w:r w:rsidR="008E3E95">
          <w:rPr>
            <w:noProof/>
            <w:webHidden/>
          </w:rPr>
          <w:t>39</w:t>
        </w:r>
        <w:r>
          <w:rPr>
            <w:noProof/>
            <w:webHidden/>
          </w:rPr>
          <w:fldChar w:fldCharType="end"/>
        </w:r>
      </w:hyperlink>
    </w:p>
    <w:p w14:paraId="5256D0AF" w14:textId="76C43B56" w:rsidR="00776CBF" w:rsidRDefault="00776CBF">
      <w:pPr>
        <w:pStyle w:val="31"/>
        <w:rPr>
          <w:rFonts w:asciiTheme="minorHAnsi" w:eastAsiaTheme="minorEastAsia" w:hAnsiTheme="minorHAnsi" w:cstheme="minorBidi"/>
          <w:kern w:val="2"/>
          <w14:ligatures w14:val="standardContextual"/>
        </w:rPr>
      </w:pPr>
      <w:hyperlink w:anchor="_Toc201901943" w:history="1">
        <w:r w:rsidRPr="00B30F81">
          <w:rPr>
            <w:rStyle w:val="a3"/>
          </w:rPr>
          <w:t>Это произошло благодаря новым правилам, которые действуют с начала этого года. Согласно им, для большинства россиян выплата теперь оформляется автоматически, а не по заявлению, как было ранее.</w:t>
        </w:r>
        <w:r>
          <w:rPr>
            <w:webHidden/>
          </w:rPr>
          <w:tab/>
        </w:r>
        <w:r>
          <w:rPr>
            <w:webHidden/>
          </w:rPr>
          <w:fldChar w:fldCharType="begin"/>
        </w:r>
        <w:r>
          <w:rPr>
            <w:webHidden/>
          </w:rPr>
          <w:instrText xml:space="preserve"> PAGEREF _Toc201901943 \h </w:instrText>
        </w:r>
        <w:r>
          <w:rPr>
            <w:webHidden/>
          </w:rPr>
        </w:r>
        <w:r>
          <w:rPr>
            <w:webHidden/>
          </w:rPr>
          <w:fldChar w:fldCharType="separate"/>
        </w:r>
        <w:r w:rsidR="008E3E95">
          <w:rPr>
            <w:webHidden/>
          </w:rPr>
          <w:t>39</w:t>
        </w:r>
        <w:r>
          <w:rPr>
            <w:webHidden/>
          </w:rPr>
          <w:fldChar w:fldCharType="end"/>
        </w:r>
      </w:hyperlink>
    </w:p>
    <w:p w14:paraId="6790B9BD" w14:textId="6EF87B3F"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44" w:history="1">
        <w:r w:rsidRPr="00B30F81">
          <w:rPr>
            <w:rStyle w:val="a3"/>
            <w:noProof/>
          </w:rPr>
          <w:t>Конкурент, 26.06.2025, Пенсия увеличится в два раза. Эксперт рассказал, как это сделать</w:t>
        </w:r>
        <w:r>
          <w:rPr>
            <w:noProof/>
            <w:webHidden/>
          </w:rPr>
          <w:tab/>
        </w:r>
        <w:r>
          <w:rPr>
            <w:noProof/>
            <w:webHidden/>
          </w:rPr>
          <w:fldChar w:fldCharType="begin"/>
        </w:r>
        <w:r>
          <w:rPr>
            <w:noProof/>
            <w:webHidden/>
          </w:rPr>
          <w:instrText xml:space="preserve"> PAGEREF _Toc201901944 \h </w:instrText>
        </w:r>
        <w:r>
          <w:rPr>
            <w:noProof/>
            <w:webHidden/>
          </w:rPr>
        </w:r>
        <w:r>
          <w:rPr>
            <w:noProof/>
            <w:webHidden/>
          </w:rPr>
          <w:fldChar w:fldCharType="separate"/>
        </w:r>
        <w:r w:rsidR="008E3E95">
          <w:rPr>
            <w:noProof/>
            <w:webHidden/>
          </w:rPr>
          <w:t>40</w:t>
        </w:r>
        <w:r>
          <w:rPr>
            <w:noProof/>
            <w:webHidden/>
          </w:rPr>
          <w:fldChar w:fldCharType="end"/>
        </w:r>
      </w:hyperlink>
    </w:p>
    <w:p w14:paraId="363284A4" w14:textId="1D4CE1E7" w:rsidR="00776CBF" w:rsidRDefault="00776CBF">
      <w:pPr>
        <w:pStyle w:val="31"/>
        <w:rPr>
          <w:rFonts w:asciiTheme="minorHAnsi" w:eastAsiaTheme="minorEastAsia" w:hAnsiTheme="minorHAnsi" w:cstheme="minorBidi"/>
          <w:kern w:val="2"/>
          <w14:ligatures w14:val="standardContextual"/>
        </w:rPr>
      </w:pPr>
      <w:hyperlink w:anchor="_Toc201901945" w:history="1">
        <w:r w:rsidRPr="00B30F81">
          <w:rPr>
            <w:rStyle w:val="a3"/>
          </w:rPr>
          <w:t>Россияне имеют возможность существенно увеличить свои будущие пенсионные выплаты, отложив момент их оформления. По словам Игоря Балынина, доцента Финансового университета при правительстве РФ, отсрочка обращения за пенсией на 10 лет и более может привести к увеличению ее размера более чем в два раза.</w:t>
        </w:r>
        <w:r>
          <w:rPr>
            <w:webHidden/>
          </w:rPr>
          <w:tab/>
        </w:r>
        <w:r>
          <w:rPr>
            <w:webHidden/>
          </w:rPr>
          <w:fldChar w:fldCharType="begin"/>
        </w:r>
        <w:r>
          <w:rPr>
            <w:webHidden/>
          </w:rPr>
          <w:instrText xml:space="preserve"> PAGEREF _Toc201901945 \h </w:instrText>
        </w:r>
        <w:r>
          <w:rPr>
            <w:webHidden/>
          </w:rPr>
        </w:r>
        <w:r>
          <w:rPr>
            <w:webHidden/>
          </w:rPr>
          <w:fldChar w:fldCharType="separate"/>
        </w:r>
        <w:r w:rsidR="008E3E95">
          <w:rPr>
            <w:webHidden/>
          </w:rPr>
          <w:t>40</w:t>
        </w:r>
        <w:r>
          <w:rPr>
            <w:webHidden/>
          </w:rPr>
          <w:fldChar w:fldCharType="end"/>
        </w:r>
      </w:hyperlink>
    </w:p>
    <w:p w14:paraId="4B176085" w14:textId="28697536"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46" w:history="1">
        <w:r w:rsidRPr="00B30F81">
          <w:rPr>
            <w:rStyle w:val="a3"/>
            <w:noProof/>
          </w:rPr>
          <w:t>PRIMPRESS, 26.06.2025, И работающим, и неработающим. Эту сумму зачислят на карты всем пенсионерам с 27 июня</w:t>
        </w:r>
        <w:r>
          <w:rPr>
            <w:noProof/>
            <w:webHidden/>
          </w:rPr>
          <w:tab/>
        </w:r>
        <w:r>
          <w:rPr>
            <w:noProof/>
            <w:webHidden/>
          </w:rPr>
          <w:fldChar w:fldCharType="begin"/>
        </w:r>
        <w:r>
          <w:rPr>
            <w:noProof/>
            <w:webHidden/>
          </w:rPr>
          <w:instrText xml:space="preserve"> PAGEREF _Toc201901946 \h </w:instrText>
        </w:r>
        <w:r>
          <w:rPr>
            <w:noProof/>
            <w:webHidden/>
          </w:rPr>
        </w:r>
        <w:r>
          <w:rPr>
            <w:noProof/>
            <w:webHidden/>
          </w:rPr>
          <w:fldChar w:fldCharType="separate"/>
        </w:r>
        <w:r w:rsidR="008E3E95">
          <w:rPr>
            <w:noProof/>
            <w:webHidden/>
          </w:rPr>
          <w:t>40</w:t>
        </w:r>
        <w:r>
          <w:rPr>
            <w:noProof/>
            <w:webHidden/>
          </w:rPr>
          <w:fldChar w:fldCharType="end"/>
        </w:r>
      </w:hyperlink>
    </w:p>
    <w:p w14:paraId="5ADE9918" w14:textId="6DBF2EE8" w:rsidR="00776CBF" w:rsidRDefault="00776CBF">
      <w:pPr>
        <w:pStyle w:val="31"/>
        <w:rPr>
          <w:rFonts w:asciiTheme="minorHAnsi" w:eastAsiaTheme="minorEastAsia" w:hAnsiTheme="minorHAnsi" w:cstheme="minorBidi"/>
          <w:kern w:val="2"/>
          <w14:ligatures w14:val="standardContextual"/>
        </w:rPr>
      </w:pPr>
      <w:hyperlink w:anchor="_Toc201901947" w:history="1">
        <w:r w:rsidRPr="00B30F81">
          <w:rPr>
            <w:rStyle w:val="a3"/>
          </w:rPr>
          <w:t>Российским пенсионерам сообщили о поступлении дополнительных средств на карты, которое начнется уже с 27 июня. Все пожилые граждане смогут получить этот бонус независимо от их трудового статуса. Деньги будут зачисляться на счета определенных банковских учреждений, рассказал пенсионный специалист Сергей Власов, сообщает PRIMPRESS.</w:t>
        </w:r>
        <w:r>
          <w:rPr>
            <w:webHidden/>
          </w:rPr>
          <w:tab/>
        </w:r>
        <w:r>
          <w:rPr>
            <w:webHidden/>
          </w:rPr>
          <w:fldChar w:fldCharType="begin"/>
        </w:r>
        <w:r>
          <w:rPr>
            <w:webHidden/>
          </w:rPr>
          <w:instrText xml:space="preserve"> PAGEREF _Toc201901947 \h </w:instrText>
        </w:r>
        <w:r>
          <w:rPr>
            <w:webHidden/>
          </w:rPr>
        </w:r>
        <w:r>
          <w:rPr>
            <w:webHidden/>
          </w:rPr>
          <w:fldChar w:fldCharType="separate"/>
        </w:r>
        <w:r w:rsidR="008E3E95">
          <w:rPr>
            <w:webHidden/>
          </w:rPr>
          <w:t>40</w:t>
        </w:r>
        <w:r>
          <w:rPr>
            <w:webHidden/>
          </w:rPr>
          <w:fldChar w:fldCharType="end"/>
        </w:r>
      </w:hyperlink>
    </w:p>
    <w:p w14:paraId="28A41233" w14:textId="3418BF01"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48" w:history="1">
        <w:r w:rsidRPr="00B30F81">
          <w:rPr>
            <w:rStyle w:val="a3"/>
            <w:noProof/>
          </w:rPr>
          <w:t>PRIMPRESS, 26.06.2025, Пенсионеров обрадовали. Тех, у кого есть не менее 20 лет стажа, ждет сюрприз</w:t>
        </w:r>
        <w:r>
          <w:rPr>
            <w:noProof/>
            <w:webHidden/>
          </w:rPr>
          <w:tab/>
        </w:r>
        <w:r>
          <w:rPr>
            <w:noProof/>
            <w:webHidden/>
          </w:rPr>
          <w:fldChar w:fldCharType="begin"/>
        </w:r>
        <w:r>
          <w:rPr>
            <w:noProof/>
            <w:webHidden/>
          </w:rPr>
          <w:instrText xml:space="preserve"> PAGEREF _Toc201901948 \h </w:instrText>
        </w:r>
        <w:r>
          <w:rPr>
            <w:noProof/>
            <w:webHidden/>
          </w:rPr>
        </w:r>
        <w:r>
          <w:rPr>
            <w:noProof/>
            <w:webHidden/>
          </w:rPr>
          <w:fldChar w:fldCharType="separate"/>
        </w:r>
        <w:r w:rsidR="008E3E95">
          <w:rPr>
            <w:noProof/>
            <w:webHidden/>
          </w:rPr>
          <w:t>41</w:t>
        </w:r>
        <w:r>
          <w:rPr>
            <w:noProof/>
            <w:webHidden/>
          </w:rPr>
          <w:fldChar w:fldCharType="end"/>
        </w:r>
      </w:hyperlink>
    </w:p>
    <w:p w14:paraId="395AF842" w14:textId="065EE02F" w:rsidR="00776CBF" w:rsidRDefault="00776CBF">
      <w:pPr>
        <w:pStyle w:val="31"/>
        <w:rPr>
          <w:rFonts w:asciiTheme="minorHAnsi" w:eastAsiaTheme="minorEastAsia" w:hAnsiTheme="minorHAnsi" w:cstheme="minorBidi"/>
          <w:kern w:val="2"/>
          <w14:ligatures w14:val="standardContextual"/>
        </w:rPr>
      </w:pPr>
      <w:hyperlink w:anchor="_Toc201901949" w:history="1">
        <w:r w:rsidRPr="00B30F81">
          <w:rPr>
            <w:rStyle w:val="a3"/>
          </w:rPr>
          <w:t>Российским пенсионерам, имеющим не менее 20 лет стажа, сообщили о новой возможности получения дополнительных выплат. Для этого пожилым гражданам необходимо подать соответствующее заявление. Об этом рассказала юрист Ирина Сивакова, сообщает PRIMPRESS.</w:t>
        </w:r>
        <w:r>
          <w:rPr>
            <w:webHidden/>
          </w:rPr>
          <w:tab/>
        </w:r>
        <w:r>
          <w:rPr>
            <w:webHidden/>
          </w:rPr>
          <w:fldChar w:fldCharType="begin"/>
        </w:r>
        <w:r>
          <w:rPr>
            <w:webHidden/>
          </w:rPr>
          <w:instrText xml:space="preserve"> PAGEREF _Toc201901949 \h </w:instrText>
        </w:r>
        <w:r>
          <w:rPr>
            <w:webHidden/>
          </w:rPr>
        </w:r>
        <w:r>
          <w:rPr>
            <w:webHidden/>
          </w:rPr>
          <w:fldChar w:fldCharType="separate"/>
        </w:r>
        <w:r w:rsidR="008E3E95">
          <w:rPr>
            <w:webHidden/>
          </w:rPr>
          <w:t>41</w:t>
        </w:r>
        <w:r>
          <w:rPr>
            <w:webHidden/>
          </w:rPr>
          <w:fldChar w:fldCharType="end"/>
        </w:r>
      </w:hyperlink>
    </w:p>
    <w:p w14:paraId="71F2CB9F" w14:textId="0BA7B5AA"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50" w:history="1">
        <w:r w:rsidRPr="00B30F81">
          <w:rPr>
            <w:rStyle w:val="a3"/>
            <w:noProof/>
          </w:rPr>
          <w:t>Life.Ru, 27.06.2025, С 1 июля появятся новые социальные выплаты. Кому они положены и сколько составят</w:t>
        </w:r>
        <w:r>
          <w:rPr>
            <w:noProof/>
            <w:webHidden/>
          </w:rPr>
          <w:tab/>
        </w:r>
        <w:r>
          <w:rPr>
            <w:noProof/>
            <w:webHidden/>
          </w:rPr>
          <w:fldChar w:fldCharType="begin"/>
        </w:r>
        <w:r>
          <w:rPr>
            <w:noProof/>
            <w:webHidden/>
          </w:rPr>
          <w:instrText xml:space="preserve"> PAGEREF _Toc201901950 \h </w:instrText>
        </w:r>
        <w:r>
          <w:rPr>
            <w:noProof/>
            <w:webHidden/>
          </w:rPr>
        </w:r>
        <w:r>
          <w:rPr>
            <w:noProof/>
            <w:webHidden/>
          </w:rPr>
          <w:fldChar w:fldCharType="separate"/>
        </w:r>
        <w:r w:rsidR="008E3E95">
          <w:rPr>
            <w:noProof/>
            <w:webHidden/>
          </w:rPr>
          <w:t>42</w:t>
        </w:r>
        <w:r>
          <w:rPr>
            <w:noProof/>
            <w:webHidden/>
          </w:rPr>
          <w:fldChar w:fldCharType="end"/>
        </w:r>
      </w:hyperlink>
    </w:p>
    <w:p w14:paraId="0A7A9631" w14:textId="26ADDCED" w:rsidR="00776CBF" w:rsidRDefault="00776CBF">
      <w:pPr>
        <w:pStyle w:val="31"/>
        <w:rPr>
          <w:rFonts w:asciiTheme="minorHAnsi" w:eastAsiaTheme="minorEastAsia" w:hAnsiTheme="minorHAnsi" w:cstheme="minorBidi"/>
          <w:kern w:val="2"/>
          <w14:ligatures w14:val="standardContextual"/>
        </w:rPr>
      </w:pPr>
      <w:hyperlink w:anchor="_Toc201901951" w:history="1">
        <w:r w:rsidRPr="00B30F81">
          <w:rPr>
            <w:rStyle w:val="a3"/>
          </w:rPr>
          <w:t>С 1 июля начнут действовать новые меры социальной поддержки. При этом будут проиндексированы и уже существующие пособия и компенсации. Кто станет получать больше и на сколько?</w:t>
        </w:r>
        <w:r>
          <w:rPr>
            <w:webHidden/>
          </w:rPr>
          <w:tab/>
        </w:r>
        <w:r>
          <w:rPr>
            <w:webHidden/>
          </w:rPr>
          <w:fldChar w:fldCharType="begin"/>
        </w:r>
        <w:r>
          <w:rPr>
            <w:webHidden/>
          </w:rPr>
          <w:instrText xml:space="preserve"> PAGEREF _Toc201901951 \h </w:instrText>
        </w:r>
        <w:r>
          <w:rPr>
            <w:webHidden/>
          </w:rPr>
        </w:r>
        <w:r>
          <w:rPr>
            <w:webHidden/>
          </w:rPr>
          <w:fldChar w:fldCharType="separate"/>
        </w:r>
        <w:r w:rsidR="008E3E95">
          <w:rPr>
            <w:webHidden/>
          </w:rPr>
          <w:t>42</w:t>
        </w:r>
        <w:r>
          <w:rPr>
            <w:webHidden/>
          </w:rPr>
          <w:fldChar w:fldCharType="end"/>
        </w:r>
      </w:hyperlink>
    </w:p>
    <w:p w14:paraId="1BE079FE" w14:textId="05E3405B"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52" w:history="1">
        <w:r w:rsidRPr="00B30F81">
          <w:rPr>
            <w:rStyle w:val="a3"/>
            <w:noProof/>
          </w:rPr>
          <w:t>Клео.Ру, 27.06.2025, Пенсия за август 2025 - график выплат на карту Сбербанка</w:t>
        </w:r>
        <w:r>
          <w:rPr>
            <w:noProof/>
            <w:webHidden/>
          </w:rPr>
          <w:tab/>
        </w:r>
        <w:r>
          <w:rPr>
            <w:noProof/>
            <w:webHidden/>
          </w:rPr>
          <w:fldChar w:fldCharType="begin"/>
        </w:r>
        <w:r>
          <w:rPr>
            <w:noProof/>
            <w:webHidden/>
          </w:rPr>
          <w:instrText xml:space="preserve"> PAGEREF _Toc201901952 \h </w:instrText>
        </w:r>
        <w:r>
          <w:rPr>
            <w:noProof/>
            <w:webHidden/>
          </w:rPr>
        </w:r>
        <w:r>
          <w:rPr>
            <w:noProof/>
            <w:webHidden/>
          </w:rPr>
          <w:fldChar w:fldCharType="separate"/>
        </w:r>
        <w:r w:rsidR="008E3E95">
          <w:rPr>
            <w:noProof/>
            <w:webHidden/>
          </w:rPr>
          <w:t>43</w:t>
        </w:r>
        <w:r>
          <w:rPr>
            <w:noProof/>
            <w:webHidden/>
          </w:rPr>
          <w:fldChar w:fldCharType="end"/>
        </w:r>
      </w:hyperlink>
    </w:p>
    <w:p w14:paraId="0DB4D4DA" w14:textId="0429402B" w:rsidR="00776CBF" w:rsidRDefault="00776CBF">
      <w:pPr>
        <w:pStyle w:val="31"/>
        <w:rPr>
          <w:rFonts w:asciiTheme="minorHAnsi" w:eastAsiaTheme="minorEastAsia" w:hAnsiTheme="minorHAnsi" w:cstheme="minorBidi"/>
          <w:kern w:val="2"/>
          <w14:ligatures w14:val="standardContextual"/>
        </w:rPr>
      </w:pPr>
      <w:hyperlink w:anchor="_Toc201901953" w:history="1">
        <w:r w:rsidRPr="00B30F81">
          <w:rPr>
            <w:rStyle w:val="a3"/>
          </w:rPr>
          <w:t>Каждому получателю пенсии важно заранее понимать сроки поступления выплат. Задержки и отклонения могут вызвать множество неудобств. Даже если изменения незначительные, стоит учитывать их в своих планах. График выплаты пенсии за август 2025 года поможет определить, когда примерно поступят деньги на карту Сбербанка.</w:t>
        </w:r>
        <w:r>
          <w:rPr>
            <w:webHidden/>
          </w:rPr>
          <w:tab/>
        </w:r>
        <w:r>
          <w:rPr>
            <w:webHidden/>
          </w:rPr>
          <w:fldChar w:fldCharType="begin"/>
        </w:r>
        <w:r>
          <w:rPr>
            <w:webHidden/>
          </w:rPr>
          <w:instrText xml:space="preserve"> PAGEREF _Toc201901953 \h </w:instrText>
        </w:r>
        <w:r>
          <w:rPr>
            <w:webHidden/>
          </w:rPr>
        </w:r>
        <w:r>
          <w:rPr>
            <w:webHidden/>
          </w:rPr>
          <w:fldChar w:fldCharType="separate"/>
        </w:r>
        <w:r w:rsidR="008E3E95">
          <w:rPr>
            <w:webHidden/>
          </w:rPr>
          <w:t>43</w:t>
        </w:r>
        <w:r>
          <w:rPr>
            <w:webHidden/>
          </w:rPr>
          <w:fldChar w:fldCharType="end"/>
        </w:r>
      </w:hyperlink>
    </w:p>
    <w:p w14:paraId="6D565EEC" w14:textId="3F2C5884" w:rsidR="00776CBF" w:rsidRDefault="00776CB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901954" w:history="1">
        <w:r w:rsidRPr="00B30F81">
          <w:rPr>
            <w:rStyle w:val="a3"/>
            <w:noProof/>
          </w:rPr>
          <w:t>Региональные СМИ</w:t>
        </w:r>
        <w:r>
          <w:rPr>
            <w:noProof/>
            <w:webHidden/>
          </w:rPr>
          <w:tab/>
        </w:r>
        <w:r>
          <w:rPr>
            <w:noProof/>
            <w:webHidden/>
          </w:rPr>
          <w:fldChar w:fldCharType="begin"/>
        </w:r>
        <w:r>
          <w:rPr>
            <w:noProof/>
            <w:webHidden/>
          </w:rPr>
          <w:instrText xml:space="preserve"> PAGEREF _Toc201901954 \h </w:instrText>
        </w:r>
        <w:r>
          <w:rPr>
            <w:noProof/>
            <w:webHidden/>
          </w:rPr>
        </w:r>
        <w:r>
          <w:rPr>
            <w:noProof/>
            <w:webHidden/>
          </w:rPr>
          <w:fldChar w:fldCharType="separate"/>
        </w:r>
        <w:r w:rsidR="008E3E95">
          <w:rPr>
            <w:noProof/>
            <w:webHidden/>
          </w:rPr>
          <w:t>46</w:t>
        </w:r>
        <w:r>
          <w:rPr>
            <w:noProof/>
            <w:webHidden/>
          </w:rPr>
          <w:fldChar w:fldCharType="end"/>
        </w:r>
      </w:hyperlink>
    </w:p>
    <w:p w14:paraId="258478A0" w14:textId="4C199967"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55" w:history="1">
        <w:r w:rsidRPr="00B30F81">
          <w:rPr>
            <w:rStyle w:val="a3"/>
            <w:noProof/>
          </w:rPr>
          <w:t>Агентство экономических новостей, 26.06.2025, В Абхазии с 1 июля вырастут пенсии</w:t>
        </w:r>
        <w:r>
          <w:rPr>
            <w:noProof/>
            <w:webHidden/>
          </w:rPr>
          <w:tab/>
        </w:r>
        <w:r>
          <w:rPr>
            <w:noProof/>
            <w:webHidden/>
          </w:rPr>
          <w:fldChar w:fldCharType="begin"/>
        </w:r>
        <w:r>
          <w:rPr>
            <w:noProof/>
            <w:webHidden/>
          </w:rPr>
          <w:instrText xml:space="preserve"> PAGEREF _Toc201901955 \h </w:instrText>
        </w:r>
        <w:r>
          <w:rPr>
            <w:noProof/>
            <w:webHidden/>
          </w:rPr>
        </w:r>
        <w:r>
          <w:rPr>
            <w:noProof/>
            <w:webHidden/>
          </w:rPr>
          <w:fldChar w:fldCharType="separate"/>
        </w:r>
        <w:r w:rsidR="008E3E95">
          <w:rPr>
            <w:noProof/>
            <w:webHidden/>
          </w:rPr>
          <w:t>46</w:t>
        </w:r>
        <w:r>
          <w:rPr>
            <w:noProof/>
            <w:webHidden/>
          </w:rPr>
          <w:fldChar w:fldCharType="end"/>
        </w:r>
      </w:hyperlink>
    </w:p>
    <w:p w14:paraId="66145363" w14:textId="730AE99D" w:rsidR="00776CBF" w:rsidRDefault="00776CBF">
      <w:pPr>
        <w:pStyle w:val="31"/>
        <w:rPr>
          <w:rFonts w:asciiTheme="minorHAnsi" w:eastAsiaTheme="minorEastAsia" w:hAnsiTheme="minorHAnsi" w:cstheme="minorBidi"/>
          <w:kern w:val="2"/>
          <w14:ligatures w14:val="standardContextual"/>
        </w:rPr>
      </w:pPr>
      <w:hyperlink w:anchor="_Toc201901956" w:history="1">
        <w:r w:rsidRPr="00B30F81">
          <w:rPr>
            <w:rStyle w:val="a3"/>
          </w:rPr>
          <w:t>Власти Абхазии утвердили повышение пенсий с 1 июля для граждан республики, не получающих российские пенсионные выплаты. Размер доплаты составит 1 000 рублей в месяц для всех категорий пенсионеров. Об этом пишет «Сочи Онлайн».</w:t>
        </w:r>
        <w:r>
          <w:rPr>
            <w:webHidden/>
          </w:rPr>
          <w:tab/>
        </w:r>
        <w:r>
          <w:rPr>
            <w:webHidden/>
          </w:rPr>
          <w:fldChar w:fldCharType="begin"/>
        </w:r>
        <w:r>
          <w:rPr>
            <w:webHidden/>
          </w:rPr>
          <w:instrText xml:space="preserve"> PAGEREF _Toc201901956 \h </w:instrText>
        </w:r>
        <w:r>
          <w:rPr>
            <w:webHidden/>
          </w:rPr>
        </w:r>
        <w:r>
          <w:rPr>
            <w:webHidden/>
          </w:rPr>
          <w:fldChar w:fldCharType="separate"/>
        </w:r>
        <w:r w:rsidR="008E3E95">
          <w:rPr>
            <w:webHidden/>
          </w:rPr>
          <w:t>46</w:t>
        </w:r>
        <w:r>
          <w:rPr>
            <w:webHidden/>
          </w:rPr>
          <w:fldChar w:fldCharType="end"/>
        </w:r>
      </w:hyperlink>
    </w:p>
    <w:p w14:paraId="34CFDED2" w14:textId="199F4D11"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57" w:history="1">
        <w:r w:rsidRPr="00B30F81">
          <w:rPr>
            <w:rStyle w:val="a3"/>
            <w:noProof/>
          </w:rPr>
          <w:t>Вечерняя Казань, 26.06.2025, Свыше 3 тысяч татарстанцев получили выплаты из пенсионных накоплений</w:t>
        </w:r>
        <w:r>
          <w:rPr>
            <w:noProof/>
            <w:webHidden/>
          </w:rPr>
          <w:tab/>
        </w:r>
        <w:r>
          <w:rPr>
            <w:noProof/>
            <w:webHidden/>
          </w:rPr>
          <w:fldChar w:fldCharType="begin"/>
        </w:r>
        <w:r>
          <w:rPr>
            <w:noProof/>
            <w:webHidden/>
          </w:rPr>
          <w:instrText xml:space="preserve"> PAGEREF _Toc201901957 \h </w:instrText>
        </w:r>
        <w:r>
          <w:rPr>
            <w:noProof/>
            <w:webHidden/>
          </w:rPr>
        </w:r>
        <w:r>
          <w:rPr>
            <w:noProof/>
            <w:webHidden/>
          </w:rPr>
          <w:fldChar w:fldCharType="separate"/>
        </w:r>
        <w:r w:rsidR="008E3E95">
          <w:rPr>
            <w:noProof/>
            <w:webHidden/>
          </w:rPr>
          <w:t>46</w:t>
        </w:r>
        <w:r>
          <w:rPr>
            <w:noProof/>
            <w:webHidden/>
          </w:rPr>
          <w:fldChar w:fldCharType="end"/>
        </w:r>
      </w:hyperlink>
    </w:p>
    <w:p w14:paraId="25A400AC" w14:textId="64266019" w:rsidR="00776CBF" w:rsidRDefault="00776CBF">
      <w:pPr>
        <w:pStyle w:val="31"/>
        <w:rPr>
          <w:rFonts w:asciiTheme="minorHAnsi" w:eastAsiaTheme="minorEastAsia" w:hAnsiTheme="minorHAnsi" w:cstheme="minorBidi"/>
          <w:kern w:val="2"/>
          <w14:ligatures w14:val="standardContextual"/>
        </w:rPr>
      </w:pPr>
      <w:hyperlink w:anchor="_Toc201901958" w:history="1">
        <w:r w:rsidRPr="00B30F81">
          <w:rPr>
            <w:rStyle w:val="a3"/>
          </w:rPr>
          <w:t>В Татарстане 3458 жителей получили выплаты из своих пенсионных накоплений, об этом сообщили в Социальном фонде республики.</w:t>
        </w:r>
        <w:r>
          <w:rPr>
            <w:webHidden/>
          </w:rPr>
          <w:tab/>
        </w:r>
        <w:r>
          <w:rPr>
            <w:webHidden/>
          </w:rPr>
          <w:fldChar w:fldCharType="begin"/>
        </w:r>
        <w:r>
          <w:rPr>
            <w:webHidden/>
          </w:rPr>
          <w:instrText xml:space="preserve"> PAGEREF _Toc201901958 \h </w:instrText>
        </w:r>
        <w:r>
          <w:rPr>
            <w:webHidden/>
          </w:rPr>
        </w:r>
        <w:r>
          <w:rPr>
            <w:webHidden/>
          </w:rPr>
          <w:fldChar w:fldCharType="separate"/>
        </w:r>
        <w:r w:rsidR="008E3E95">
          <w:rPr>
            <w:webHidden/>
          </w:rPr>
          <w:t>46</w:t>
        </w:r>
        <w:r>
          <w:rPr>
            <w:webHidden/>
          </w:rPr>
          <w:fldChar w:fldCharType="end"/>
        </w:r>
      </w:hyperlink>
    </w:p>
    <w:p w14:paraId="1FBA8CEB" w14:textId="0312AA7F" w:rsidR="00776CBF" w:rsidRDefault="00776CB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901959" w:history="1">
        <w:r w:rsidRPr="00B30F81">
          <w:rPr>
            <w:rStyle w:val="a3"/>
            <w:noProof/>
          </w:rPr>
          <w:t>НОВОСТИ МАКРОЭКОНОМИКИ</w:t>
        </w:r>
        <w:r>
          <w:rPr>
            <w:noProof/>
            <w:webHidden/>
          </w:rPr>
          <w:tab/>
        </w:r>
        <w:r>
          <w:rPr>
            <w:noProof/>
            <w:webHidden/>
          </w:rPr>
          <w:fldChar w:fldCharType="begin"/>
        </w:r>
        <w:r>
          <w:rPr>
            <w:noProof/>
            <w:webHidden/>
          </w:rPr>
          <w:instrText xml:space="preserve"> PAGEREF _Toc201901959 \h </w:instrText>
        </w:r>
        <w:r>
          <w:rPr>
            <w:noProof/>
            <w:webHidden/>
          </w:rPr>
        </w:r>
        <w:r>
          <w:rPr>
            <w:noProof/>
            <w:webHidden/>
          </w:rPr>
          <w:fldChar w:fldCharType="separate"/>
        </w:r>
        <w:r w:rsidR="008E3E95">
          <w:rPr>
            <w:noProof/>
            <w:webHidden/>
          </w:rPr>
          <w:t>48</w:t>
        </w:r>
        <w:r>
          <w:rPr>
            <w:noProof/>
            <w:webHidden/>
          </w:rPr>
          <w:fldChar w:fldCharType="end"/>
        </w:r>
      </w:hyperlink>
    </w:p>
    <w:p w14:paraId="52BCE352" w14:textId="34D887B7"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60" w:history="1">
        <w:r w:rsidRPr="00B30F81">
          <w:rPr>
            <w:rStyle w:val="a3"/>
            <w:noProof/>
          </w:rPr>
          <w:t>Известия, 26.06.2025, Трудовой возраст: предпенсионеров стали вдвое чаще звать на работу</w:t>
        </w:r>
        <w:r>
          <w:rPr>
            <w:noProof/>
            <w:webHidden/>
          </w:rPr>
          <w:tab/>
        </w:r>
        <w:r>
          <w:rPr>
            <w:noProof/>
            <w:webHidden/>
          </w:rPr>
          <w:fldChar w:fldCharType="begin"/>
        </w:r>
        <w:r>
          <w:rPr>
            <w:noProof/>
            <w:webHidden/>
          </w:rPr>
          <w:instrText xml:space="preserve"> PAGEREF _Toc201901960 \h </w:instrText>
        </w:r>
        <w:r>
          <w:rPr>
            <w:noProof/>
            <w:webHidden/>
          </w:rPr>
        </w:r>
        <w:r>
          <w:rPr>
            <w:noProof/>
            <w:webHidden/>
          </w:rPr>
          <w:fldChar w:fldCharType="separate"/>
        </w:r>
        <w:r w:rsidR="008E3E95">
          <w:rPr>
            <w:noProof/>
            <w:webHidden/>
          </w:rPr>
          <w:t>48</w:t>
        </w:r>
        <w:r>
          <w:rPr>
            <w:noProof/>
            <w:webHidden/>
          </w:rPr>
          <w:fldChar w:fldCharType="end"/>
        </w:r>
      </w:hyperlink>
    </w:p>
    <w:p w14:paraId="3369935C" w14:textId="05C5C8B9" w:rsidR="00776CBF" w:rsidRDefault="00776CBF">
      <w:pPr>
        <w:pStyle w:val="31"/>
        <w:rPr>
          <w:rFonts w:asciiTheme="minorHAnsi" w:eastAsiaTheme="minorEastAsia" w:hAnsiTheme="minorHAnsi" w:cstheme="minorBidi"/>
          <w:kern w:val="2"/>
          <w14:ligatures w14:val="standardContextual"/>
        </w:rPr>
      </w:pPr>
      <w:hyperlink w:anchor="_Toc201901961" w:history="1">
        <w:r w:rsidRPr="00B30F81">
          <w:rPr>
            <w:rStyle w:val="a3"/>
          </w:rPr>
          <w:t>Компании стали чаще звать на работу граждан старше 50 лет. Число приглашений в 2025 году выросло вдвое — до 5 млн, выяснили «Известия». Причина — в дефиците кадров на фоне демографической ямы и рекордно низкой безработицы. Это имеет ключевое значение на фоне заявлений президента на ПМЭФ о необходимости снижать уровень бедности, который особенно высок среди пожилых людей — работая перед пенсией, людям будет проще накопить на достойную старость. Впрочем, предпенсионеры все равно чаще сталкиваются с проблемами при найме, чем более молодые специалисты. На какие должности их в основном зовут — в материале «Известий».</w:t>
        </w:r>
        <w:r>
          <w:rPr>
            <w:webHidden/>
          </w:rPr>
          <w:tab/>
        </w:r>
        <w:r>
          <w:rPr>
            <w:webHidden/>
          </w:rPr>
          <w:fldChar w:fldCharType="begin"/>
        </w:r>
        <w:r>
          <w:rPr>
            <w:webHidden/>
          </w:rPr>
          <w:instrText xml:space="preserve"> PAGEREF _Toc201901961 \h </w:instrText>
        </w:r>
        <w:r>
          <w:rPr>
            <w:webHidden/>
          </w:rPr>
        </w:r>
        <w:r>
          <w:rPr>
            <w:webHidden/>
          </w:rPr>
          <w:fldChar w:fldCharType="separate"/>
        </w:r>
        <w:r w:rsidR="008E3E95">
          <w:rPr>
            <w:webHidden/>
          </w:rPr>
          <w:t>48</w:t>
        </w:r>
        <w:r>
          <w:rPr>
            <w:webHidden/>
          </w:rPr>
          <w:fldChar w:fldCharType="end"/>
        </w:r>
      </w:hyperlink>
    </w:p>
    <w:p w14:paraId="744710B4" w14:textId="3EFB41CC"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62" w:history="1">
        <w:r w:rsidRPr="00B30F81">
          <w:rPr>
            <w:rStyle w:val="a3"/>
            <w:noProof/>
          </w:rPr>
          <w:t>Известия, 27.06.2025, Держать в бонусе</w:t>
        </w:r>
        <w:r>
          <w:rPr>
            <w:noProof/>
            <w:webHidden/>
          </w:rPr>
          <w:tab/>
        </w:r>
        <w:r>
          <w:rPr>
            <w:noProof/>
            <w:webHidden/>
          </w:rPr>
          <w:fldChar w:fldCharType="begin"/>
        </w:r>
        <w:r>
          <w:rPr>
            <w:noProof/>
            <w:webHidden/>
          </w:rPr>
          <w:instrText xml:space="preserve"> PAGEREF _Toc201901962 \h </w:instrText>
        </w:r>
        <w:r>
          <w:rPr>
            <w:noProof/>
            <w:webHidden/>
          </w:rPr>
        </w:r>
        <w:r>
          <w:rPr>
            <w:noProof/>
            <w:webHidden/>
          </w:rPr>
          <w:fldChar w:fldCharType="separate"/>
        </w:r>
        <w:r w:rsidR="008E3E95">
          <w:rPr>
            <w:noProof/>
            <w:webHidden/>
          </w:rPr>
          <w:t>50</w:t>
        </w:r>
        <w:r>
          <w:rPr>
            <w:noProof/>
            <w:webHidden/>
          </w:rPr>
          <w:fldChar w:fldCharType="end"/>
        </w:r>
      </w:hyperlink>
    </w:p>
    <w:p w14:paraId="6558B2E3" w14:textId="5C0DF01B" w:rsidR="00776CBF" w:rsidRDefault="00776CBF">
      <w:pPr>
        <w:pStyle w:val="31"/>
        <w:rPr>
          <w:rFonts w:asciiTheme="minorHAnsi" w:eastAsiaTheme="minorEastAsia" w:hAnsiTheme="minorHAnsi" w:cstheme="minorBidi"/>
          <w:kern w:val="2"/>
          <w14:ligatures w14:val="standardContextual"/>
        </w:rPr>
      </w:pPr>
      <w:hyperlink w:anchor="_Toc201901963" w:history="1">
        <w:r w:rsidRPr="00B30F81">
          <w:rPr>
            <w:rStyle w:val="a3"/>
          </w:rPr>
          <w:t>За последний год работодатели снизили размер премий или вообще перестали их выплачивать почти трети россиян, выяснили "Известия". Чаще всего на лишение бонусов жалуются менеджеры, айтишники и риелторы. На фоне повышения налогов и ключевой ставки у бизнеса не остаётся возможностей платить больше денег. Хотя дефицит кадров сохраняется, компании теперь привлекают и удерживают людей другими привилегиями - ДМС, обучением, корпоративными скидками и расширенным соцпакетом. К чему приведёт снижение денежных вознаграждений - в материале "Известий".</w:t>
        </w:r>
        <w:r>
          <w:rPr>
            <w:webHidden/>
          </w:rPr>
          <w:tab/>
        </w:r>
        <w:r>
          <w:rPr>
            <w:webHidden/>
          </w:rPr>
          <w:fldChar w:fldCharType="begin"/>
        </w:r>
        <w:r>
          <w:rPr>
            <w:webHidden/>
          </w:rPr>
          <w:instrText xml:space="preserve"> PAGEREF _Toc201901963 \h </w:instrText>
        </w:r>
        <w:r>
          <w:rPr>
            <w:webHidden/>
          </w:rPr>
        </w:r>
        <w:r>
          <w:rPr>
            <w:webHidden/>
          </w:rPr>
          <w:fldChar w:fldCharType="separate"/>
        </w:r>
        <w:r w:rsidR="008E3E95">
          <w:rPr>
            <w:webHidden/>
          </w:rPr>
          <w:t>50</w:t>
        </w:r>
        <w:r>
          <w:rPr>
            <w:webHidden/>
          </w:rPr>
          <w:fldChar w:fldCharType="end"/>
        </w:r>
      </w:hyperlink>
    </w:p>
    <w:p w14:paraId="16D3A514" w14:textId="13E6CD4A"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64" w:history="1">
        <w:r w:rsidRPr="00B30F81">
          <w:rPr>
            <w:rStyle w:val="a3"/>
            <w:noProof/>
          </w:rPr>
          <w:t>Известия, 27.06.2025, Ставить на банки</w:t>
        </w:r>
        <w:r>
          <w:rPr>
            <w:noProof/>
            <w:webHidden/>
          </w:rPr>
          <w:tab/>
        </w:r>
        <w:r>
          <w:rPr>
            <w:noProof/>
            <w:webHidden/>
          </w:rPr>
          <w:fldChar w:fldCharType="begin"/>
        </w:r>
        <w:r>
          <w:rPr>
            <w:noProof/>
            <w:webHidden/>
          </w:rPr>
          <w:instrText xml:space="preserve"> PAGEREF _Toc201901964 \h </w:instrText>
        </w:r>
        <w:r>
          <w:rPr>
            <w:noProof/>
            <w:webHidden/>
          </w:rPr>
        </w:r>
        <w:r>
          <w:rPr>
            <w:noProof/>
            <w:webHidden/>
          </w:rPr>
          <w:fldChar w:fldCharType="separate"/>
        </w:r>
        <w:r w:rsidR="008E3E95">
          <w:rPr>
            <w:noProof/>
            <w:webHidden/>
          </w:rPr>
          <w:t>52</w:t>
        </w:r>
        <w:r>
          <w:rPr>
            <w:noProof/>
            <w:webHidden/>
          </w:rPr>
          <w:fldChar w:fldCharType="end"/>
        </w:r>
      </w:hyperlink>
    </w:p>
    <w:p w14:paraId="5070B859" w14:textId="74CC20C3" w:rsidR="00776CBF" w:rsidRDefault="00776CBF">
      <w:pPr>
        <w:pStyle w:val="31"/>
        <w:rPr>
          <w:rFonts w:asciiTheme="minorHAnsi" w:eastAsiaTheme="minorEastAsia" w:hAnsiTheme="minorHAnsi" w:cstheme="minorBidi"/>
          <w:kern w:val="2"/>
          <w14:ligatures w14:val="standardContextual"/>
        </w:rPr>
      </w:pPr>
      <w:hyperlink w:anchor="_Toc201901965" w:history="1">
        <w:r w:rsidRPr="00B30F81">
          <w:rPr>
            <w:rStyle w:val="a3"/>
          </w:rPr>
          <w:t>Совокупный ВВП участников Евразийского экономического союза увеличился с $1,6 до $2,6 трлн, странам объединения также удалось вывести большую часть расчётов в нацвалюты и снизить зависимость от западных финансовых институтов. Об этом Владимир Путин заявил на Евразийском экономическом форуме в Минске. Он также отметил и перспективы развития сотрудничества с Ираном, который недавно завершил конфликт с Израилем: стоит напомнить, что в мае уже вступило в силу соглашение о свободной торговле между Тегераном и ЕАЭС. О том, как российского лидера приняли в Минске и что ещё обсуждалось на Евразийском экономическом форуме, - в материале "Известий".</w:t>
        </w:r>
        <w:r>
          <w:rPr>
            <w:webHidden/>
          </w:rPr>
          <w:tab/>
        </w:r>
        <w:r>
          <w:rPr>
            <w:webHidden/>
          </w:rPr>
          <w:fldChar w:fldCharType="begin"/>
        </w:r>
        <w:r>
          <w:rPr>
            <w:webHidden/>
          </w:rPr>
          <w:instrText xml:space="preserve"> PAGEREF _Toc201901965 \h </w:instrText>
        </w:r>
        <w:r>
          <w:rPr>
            <w:webHidden/>
          </w:rPr>
        </w:r>
        <w:r>
          <w:rPr>
            <w:webHidden/>
          </w:rPr>
          <w:fldChar w:fldCharType="separate"/>
        </w:r>
        <w:r w:rsidR="008E3E95">
          <w:rPr>
            <w:webHidden/>
          </w:rPr>
          <w:t>52</w:t>
        </w:r>
        <w:r>
          <w:rPr>
            <w:webHidden/>
          </w:rPr>
          <w:fldChar w:fldCharType="end"/>
        </w:r>
      </w:hyperlink>
    </w:p>
    <w:p w14:paraId="0F5CFE22" w14:textId="036A67A6"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66" w:history="1">
        <w:r w:rsidRPr="00B30F81">
          <w:rPr>
            <w:rStyle w:val="a3"/>
            <w:noProof/>
          </w:rPr>
          <w:t>Коммерсантъ, 26.06.2025, «Рынок структурных продуктов пока далек от докризисных масштабов»</w:t>
        </w:r>
        <w:r>
          <w:rPr>
            <w:noProof/>
            <w:webHidden/>
          </w:rPr>
          <w:tab/>
        </w:r>
        <w:r>
          <w:rPr>
            <w:noProof/>
            <w:webHidden/>
          </w:rPr>
          <w:fldChar w:fldCharType="begin"/>
        </w:r>
        <w:r>
          <w:rPr>
            <w:noProof/>
            <w:webHidden/>
          </w:rPr>
          <w:instrText xml:space="preserve"> PAGEREF _Toc201901966 \h </w:instrText>
        </w:r>
        <w:r>
          <w:rPr>
            <w:noProof/>
            <w:webHidden/>
          </w:rPr>
        </w:r>
        <w:r>
          <w:rPr>
            <w:noProof/>
            <w:webHidden/>
          </w:rPr>
          <w:fldChar w:fldCharType="separate"/>
        </w:r>
        <w:r w:rsidR="008E3E95">
          <w:rPr>
            <w:noProof/>
            <w:webHidden/>
          </w:rPr>
          <w:t>55</w:t>
        </w:r>
        <w:r>
          <w:rPr>
            <w:noProof/>
            <w:webHidden/>
          </w:rPr>
          <w:fldChar w:fldCharType="end"/>
        </w:r>
      </w:hyperlink>
    </w:p>
    <w:p w14:paraId="7D8E22FC" w14:textId="1E6D5088" w:rsidR="00776CBF" w:rsidRDefault="00776CBF">
      <w:pPr>
        <w:pStyle w:val="31"/>
        <w:rPr>
          <w:rFonts w:asciiTheme="minorHAnsi" w:eastAsiaTheme="minorEastAsia" w:hAnsiTheme="minorHAnsi" w:cstheme="minorBidi"/>
          <w:kern w:val="2"/>
          <w14:ligatures w14:val="standardContextual"/>
        </w:rPr>
      </w:pPr>
      <w:hyperlink w:anchor="_Toc201901967" w:history="1">
        <w:r w:rsidRPr="00B30F81">
          <w:rPr>
            <w:rStyle w:val="a3"/>
          </w:rPr>
          <w:t>Как развивался рынок структурных облигаций после ухода из России иностранных банков, какие инструменты сейчас пользуются повышенным спросом инвесторов, какое влияние на рынок окажет снижение ключевой ставки, рассказал в интервью “Ъ” руководитель департамента брокерского обслуживания ВТБ (MOEX: VTBR) Андрей Яцков.</w:t>
        </w:r>
        <w:r>
          <w:rPr>
            <w:webHidden/>
          </w:rPr>
          <w:tab/>
        </w:r>
        <w:r>
          <w:rPr>
            <w:webHidden/>
          </w:rPr>
          <w:fldChar w:fldCharType="begin"/>
        </w:r>
        <w:r>
          <w:rPr>
            <w:webHidden/>
          </w:rPr>
          <w:instrText xml:space="preserve"> PAGEREF _Toc201901967 \h </w:instrText>
        </w:r>
        <w:r>
          <w:rPr>
            <w:webHidden/>
          </w:rPr>
        </w:r>
        <w:r>
          <w:rPr>
            <w:webHidden/>
          </w:rPr>
          <w:fldChar w:fldCharType="separate"/>
        </w:r>
        <w:r w:rsidR="008E3E95">
          <w:rPr>
            <w:webHidden/>
          </w:rPr>
          <w:t>55</w:t>
        </w:r>
        <w:r>
          <w:rPr>
            <w:webHidden/>
          </w:rPr>
          <w:fldChar w:fldCharType="end"/>
        </w:r>
      </w:hyperlink>
    </w:p>
    <w:p w14:paraId="50E10612" w14:textId="2B4A7305"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68" w:history="1">
        <w:r w:rsidRPr="00B30F81">
          <w:rPr>
            <w:rStyle w:val="a3"/>
            <w:noProof/>
          </w:rPr>
          <w:t>Коммерсантъ, 26.06.2025, Структурная эволюция</w:t>
        </w:r>
        <w:r>
          <w:rPr>
            <w:noProof/>
            <w:webHidden/>
          </w:rPr>
          <w:tab/>
        </w:r>
        <w:r>
          <w:rPr>
            <w:noProof/>
            <w:webHidden/>
          </w:rPr>
          <w:fldChar w:fldCharType="begin"/>
        </w:r>
        <w:r>
          <w:rPr>
            <w:noProof/>
            <w:webHidden/>
          </w:rPr>
          <w:instrText xml:space="preserve"> PAGEREF _Toc201901968 \h </w:instrText>
        </w:r>
        <w:r>
          <w:rPr>
            <w:noProof/>
            <w:webHidden/>
          </w:rPr>
        </w:r>
        <w:r>
          <w:rPr>
            <w:noProof/>
            <w:webHidden/>
          </w:rPr>
          <w:fldChar w:fldCharType="separate"/>
        </w:r>
        <w:r w:rsidR="008E3E95">
          <w:rPr>
            <w:noProof/>
            <w:webHidden/>
          </w:rPr>
          <w:t>59</w:t>
        </w:r>
        <w:r>
          <w:rPr>
            <w:noProof/>
            <w:webHidden/>
          </w:rPr>
          <w:fldChar w:fldCharType="end"/>
        </w:r>
      </w:hyperlink>
    </w:p>
    <w:p w14:paraId="63B2C95D" w14:textId="3239A075" w:rsidR="00776CBF" w:rsidRDefault="00776CBF">
      <w:pPr>
        <w:pStyle w:val="31"/>
        <w:rPr>
          <w:rFonts w:asciiTheme="minorHAnsi" w:eastAsiaTheme="minorEastAsia" w:hAnsiTheme="minorHAnsi" w:cstheme="minorBidi"/>
          <w:kern w:val="2"/>
          <w14:ligatures w14:val="standardContextual"/>
        </w:rPr>
      </w:pPr>
      <w:hyperlink w:anchor="_Toc201901969" w:history="1">
        <w:r w:rsidRPr="00B30F81">
          <w:rPr>
            <w:rStyle w:val="a3"/>
          </w:rPr>
          <w:t>В 2025 году наметился сдвиг в размещениях структурных облигаций. Этот финансовый инструмент, традиционно привлекавший опытных инвесторов, с 2022 года начал активно использоваться для проведения сделок MA. Условия для этого создал активный выход из России иностранных компаний. Упаковка продаваемых активов в структурные облигации, выпущенные специальными финансовыми обществами, обеспечивала оперативность сделок, их конфиденциальность, а также низкие регуляторные риски. Однако сейчас интерес к таким операциям снизился, и ключевая роль на рынке возвращается к банкам, выпускающим классические структурные облигации. Тем более что спрос на такие бумаги растет со стороны состоятельных инвесторов на фоне перехода Банка России к более мягкой денежно-кредитной политике.</w:t>
        </w:r>
        <w:r>
          <w:rPr>
            <w:webHidden/>
          </w:rPr>
          <w:tab/>
        </w:r>
        <w:r>
          <w:rPr>
            <w:webHidden/>
          </w:rPr>
          <w:fldChar w:fldCharType="begin"/>
        </w:r>
        <w:r>
          <w:rPr>
            <w:webHidden/>
          </w:rPr>
          <w:instrText xml:space="preserve"> PAGEREF _Toc201901969 \h </w:instrText>
        </w:r>
        <w:r>
          <w:rPr>
            <w:webHidden/>
          </w:rPr>
        </w:r>
        <w:r>
          <w:rPr>
            <w:webHidden/>
          </w:rPr>
          <w:fldChar w:fldCharType="separate"/>
        </w:r>
        <w:r w:rsidR="008E3E95">
          <w:rPr>
            <w:webHidden/>
          </w:rPr>
          <w:t>59</w:t>
        </w:r>
        <w:r>
          <w:rPr>
            <w:webHidden/>
          </w:rPr>
          <w:fldChar w:fldCharType="end"/>
        </w:r>
      </w:hyperlink>
    </w:p>
    <w:p w14:paraId="5CE3D30B" w14:textId="523399F5"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70" w:history="1">
        <w:r w:rsidRPr="00B30F81">
          <w:rPr>
            <w:rStyle w:val="a3"/>
            <w:noProof/>
          </w:rPr>
          <w:t>Коммерсантъ, 27.06.2025, Банкам добавили полгода на капитал</w:t>
        </w:r>
        <w:r>
          <w:rPr>
            <w:noProof/>
            <w:webHidden/>
          </w:rPr>
          <w:tab/>
        </w:r>
        <w:r>
          <w:rPr>
            <w:noProof/>
            <w:webHidden/>
          </w:rPr>
          <w:fldChar w:fldCharType="begin"/>
        </w:r>
        <w:r>
          <w:rPr>
            <w:noProof/>
            <w:webHidden/>
          </w:rPr>
          <w:instrText xml:space="preserve"> PAGEREF _Toc201901970 \h </w:instrText>
        </w:r>
        <w:r>
          <w:rPr>
            <w:noProof/>
            <w:webHidden/>
          </w:rPr>
        </w:r>
        <w:r>
          <w:rPr>
            <w:noProof/>
            <w:webHidden/>
          </w:rPr>
          <w:fldChar w:fldCharType="separate"/>
        </w:r>
        <w:r w:rsidR="008E3E95">
          <w:rPr>
            <w:noProof/>
            <w:webHidden/>
          </w:rPr>
          <w:t>63</w:t>
        </w:r>
        <w:r>
          <w:rPr>
            <w:noProof/>
            <w:webHidden/>
          </w:rPr>
          <w:fldChar w:fldCharType="end"/>
        </w:r>
      </w:hyperlink>
    </w:p>
    <w:p w14:paraId="2B243A2B" w14:textId="246D99F5" w:rsidR="00776CBF" w:rsidRDefault="00776CBF">
      <w:pPr>
        <w:pStyle w:val="31"/>
        <w:rPr>
          <w:rFonts w:asciiTheme="minorHAnsi" w:eastAsiaTheme="minorEastAsia" w:hAnsiTheme="minorHAnsi" w:cstheme="minorBidi"/>
          <w:kern w:val="2"/>
          <w14:ligatures w14:val="standardContextual"/>
        </w:rPr>
      </w:pPr>
      <w:hyperlink w:anchor="_Toc201901971" w:history="1">
        <w:r w:rsidRPr="00B30F81">
          <w:rPr>
            <w:rStyle w:val="a3"/>
          </w:rPr>
          <w:t>Банк России продлил до конца года возможность кредитным организациям выпускать рублевые субординированные облигации с плавающей ставкой, не превышающей ключевую на 5 процентных пунктов (п. п.). По словам участников рынка, главный бенефициар этого решения — ВТБ, который не успел «рублифицировать» все свои валютные суборды. Однако такое решение будет на руку и другим банкам, которые смогут пополнить капитал при более низкой ключевой ставке (КС).</w:t>
        </w:r>
        <w:r>
          <w:rPr>
            <w:webHidden/>
          </w:rPr>
          <w:tab/>
        </w:r>
        <w:r>
          <w:rPr>
            <w:webHidden/>
          </w:rPr>
          <w:fldChar w:fldCharType="begin"/>
        </w:r>
        <w:r>
          <w:rPr>
            <w:webHidden/>
          </w:rPr>
          <w:instrText xml:space="preserve"> PAGEREF _Toc201901971 \h </w:instrText>
        </w:r>
        <w:r>
          <w:rPr>
            <w:webHidden/>
          </w:rPr>
        </w:r>
        <w:r>
          <w:rPr>
            <w:webHidden/>
          </w:rPr>
          <w:fldChar w:fldCharType="separate"/>
        </w:r>
        <w:r w:rsidR="008E3E95">
          <w:rPr>
            <w:webHidden/>
          </w:rPr>
          <w:t>63</w:t>
        </w:r>
        <w:r>
          <w:rPr>
            <w:webHidden/>
          </w:rPr>
          <w:fldChar w:fldCharType="end"/>
        </w:r>
      </w:hyperlink>
    </w:p>
    <w:p w14:paraId="27D8500D" w14:textId="7F57A641"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72" w:history="1">
        <w:r w:rsidRPr="00B30F81">
          <w:rPr>
            <w:rStyle w:val="a3"/>
            <w:noProof/>
          </w:rPr>
          <w:t>Ведомости, 27.06.2025, Приток средств граждан во вклады резко замедлился в мае</w:t>
        </w:r>
        <w:r>
          <w:rPr>
            <w:noProof/>
            <w:webHidden/>
          </w:rPr>
          <w:tab/>
        </w:r>
        <w:r>
          <w:rPr>
            <w:noProof/>
            <w:webHidden/>
          </w:rPr>
          <w:fldChar w:fldCharType="begin"/>
        </w:r>
        <w:r>
          <w:rPr>
            <w:noProof/>
            <w:webHidden/>
          </w:rPr>
          <w:instrText xml:space="preserve"> PAGEREF _Toc201901972 \h </w:instrText>
        </w:r>
        <w:r>
          <w:rPr>
            <w:noProof/>
            <w:webHidden/>
          </w:rPr>
        </w:r>
        <w:r>
          <w:rPr>
            <w:noProof/>
            <w:webHidden/>
          </w:rPr>
          <w:fldChar w:fldCharType="separate"/>
        </w:r>
        <w:r w:rsidR="008E3E95">
          <w:rPr>
            <w:noProof/>
            <w:webHidden/>
          </w:rPr>
          <w:t>64</w:t>
        </w:r>
        <w:r>
          <w:rPr>
            <w:noProof/>
            <w:webHidden/>
          </w:rPr>
          <w:fldChar w:fldCharType="end"/>
        </w:r>
      </w:hyperlink>
    </w:p>
    <w:p w14:paraId="3083C0B1" w14:textId="5CD0CEC6" w:rsidR="00776CBF" w:rsidRDefault="00776CBF">
      <w:pPr>
        <w:pStyle w:val="31"/>
        <w:rPr>
          <w:rFonts w:asciiTheme="minorHAnsi" w:eastAsiaTheme="minorEastAsia" w:hAnsiTheme="minorHAnsi" w:cstheme="minorBidi"/>
          <w:kern w:val="2"/>
          <w14:ligatures w14:val="standardContextual"/>
        </w:rPr>
      </w:pPr>
      <w:hyperlink w:anchor="_Toc201901973" w:history="1">
        <w:r w:rsidRPr="00B30F81">
          <w:rPr>
            <w:rStyle w:val="a3"/>
          </w:rPr>
          <w:t>Средства населения в банках в мае практически не изменились и выросли на незначительные 0,2%, или 100 млрд руб., достигнув 59,4 трлн руб., пишет ЦБ в обзоре развития банковского сектора. Относительно мая прошлого года остатки средств граждан в банках увеличились на 21,6%. Месяцем ранее они выросли гораздо существеннее - на 2,8%, или 1,6 трлн руб.</w:t>
        </w:r>
        <w:r>
          <w:rPr>
            <w:webHidden/>
          </w:rPr>
          <w:tab/>
        </w:r>
        <w:r>
          <w:rPr>
            <w:webHidden/>
          </w:rPr>
          <w:fldChar w:fldCharType="begin"/>
        </w:r>
        <w:r>
          <w:rPr>
            <w:webHidden/>
          </w:rPr>
          <w:instrText xml:space="preserve"> PAGEREF _Toc201901973 \h </w:instrText>
        </w:r>
        <w:r>
          <w:rPr>
            <w:webHidden/>
          </w:rPr>
        </w:r>
        <w:r>
          <w:rPr>
            <w:webHidden/>
          </w:rPr>
          <w:fldChar w:fldCharType="separate"/>
        </w:r>
        <w:r w:rsidR="008E3E95">
          <w:rPr>
            <w:webHidden/>
          </w:rPr>
          <w:t>64</w:t>
        </w:r>
        <w:r>
          <w:rPr>
            <w:webHidden/>
          </w:rPr>
          <w:fldChar w:fldCharType="end"/>
        </w:r>
      </w:hyperlink>
    </w:p>
    <w:p w14:paraId="49840218" w14:textId="05596F9C"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74" w:history="1">
        <w:r w:rsidRPr="00B30F81">
          <w:rPr>
            <w:rStyle w:val="a3"/>
            <w:noProof/>
          </w:rPr>
          <w:t>РБК, 27.06.2025, Биржевая путевка на налоговую льготу</w:t>
        </w:r>
        <w:r>
          <w:rPr>
            <w:noProof/>
            <w:webHidden/>
          </w:rPr>
          <w:tab/>
        </w:r>
        <w:r>
          <w:rPr>
            <w:noProof/>
            <w:webHidden/>
          </w:rPr>
          <w:fldChar w:fldCharType="begin"/>
        </w:r>
        <w:r>
          <w:rPr>
            <w:noProof/>
            <w:webHidden/>
          </w:rPr>
          <w:instrText xml:space="preserve"> PAGEREF _Toc201901974 \h </w:instrText>
        </w:r>
        <w:r>
          <w:rPr>
            <w:noProof/>
            <w:webHidden/>
          </w:rPr>
        </w:r>
        <w:r>
          <w:rPr>
            <w:noProof/>
            <w:webHidden/>
          </w:rPr>
          <w:fldChar w:fldCharType="separate"/>
        </w:r>
        <w:r w:rsidR="008E3E95">
          <w:rPr>
            <w:noProof/>
            <w:webHidden/>
          </w:rPr>
          <w:t>66</w:t>
        </w:r>
        <w:r>
          <w:rPr>
            <w:noProof/>
            <w:webHidden/>
          </w:rPr>
          <w:fldChar w:fldCharType="end"/>
        </w:r>
      </w:hyperlink>
    </w:p>
    <w:p w14:paraId="68512A9C" w14:textId="5E67C1EE" w:rsidR="00776CBF" w:rsidRDefault="00776CBF">
      <w:pPr>
        <w:pStyle w:val="31"/>
        <w:rPr>
          <w:rFonts w:asciiTheme="minorHAnsi" w:eastAsiaTheme="minorEastAsia" w:hAnsiTheme="minorHAnsi" w:cstheme="minorBidi"/>
          <w:kern w:val="2"/>
          <w14:ligatures w14:val="standardContextual"/>
        </w:rPr>
      </w:pPr>
      <w:hyperlink w:anchor="_Toc201901975" w:history="1">
        <w:r w:rsidRPr="00B30F81">
          <w:rPr>
            <w:rStyle w:val="a3"/>
          </w:rPr>
          <w:t>Власти изучат льготы по НДФЛ для инвесторов в IPO. С одной стороны, это привлечет новые деньги на рынок, говорят эксперты. Но с другой - есть риск роста спекуляций, а основными бенефициарами поддержки могут стать инвесторы с наиболее крупными портфелями.</w:t>
        </w:r>
        <w:r>
          <w:rPr>
            <w:webHidden/>
          </w:rPr>
          <w:tab/>
        </w:r>
        <w:r>
          <w:rPr>
            <w:webHidden/>
          </w:rPr>
          <w:fldChar w:fldCharType="begin"/>
        </w:r>
        <w:r>
          <w:rPr>
            <w:webHidden/>
          </w:rPr>
          <w:instrText xml:space="preserve"> PAGEREF _Toc201901975 \h </w:instrText>
        </w:r>
        <w:r>
          <w:rPr>
            <w:webHidden/>
          </w:rPr>
        </w:r>
        <w:r>
          <w:rPr>
            <w:webHidden/>
          </w:rPr>
          <w:fldChar w:fldCharType="separate"/>
        </w:r>
        <w:r w:rsidR="008E3E95">
          <w:rPr>
            <w:webHidden/>
          </w:rPr>
          <w:t>66</w:t>
        </w:r>
        <w:r>
          <w:rPr>
            <w:webHidden/>
          </w:rPr>
          <w:fldChar w:fldCharType="end"/>
        </w:r>
      </w:hyperlink>
    </w:p>
    <w:p w14:paraId="0CDC7EFD" w14:textId="6A885302"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76" w:history="1">
        <w:r w:rsidRPr="00B30F81">
          <w:rPr>
            <w:rStyle w:val="a3"/>
            <w:noProof/>
          </w:rPr>
          <w:t>РБК Инвестиции, 26.06.2025, ЦБ: объем средств россиян в банках в мае не изменился</w:t>
        </w:r>
        <w:r>
          <w:rPr>
            <w:noProof/>
            <w:webHidden/>
          </w:rPr>
          <w:tab/>
        </w:r>
        <w:r>
          <w:rPr>
            <w:noProof/>
            <w:webHidden/>
          </w:rPr>
          <w:fldChar w:fldCharType="begin"/>
        </w:r>
        <w:r>
          <w:rPr>
            <w:noProof/>
            <w:webHidden/>
          </w:rPr>
          <w:instrText xml:space="preserve"> PAGEREF _Toc201901976 \h </w:instrText>
        </w:r>
        <w:r>
          <w:rPr>
            <w:noProof/>
            <w:webHidden/>
          </w:rPr>
        </w:r>
        <w:r>
          <w:rPr>
            <w:noProof/>
            <w:webHidden/>
          </w:rPr>
          <w:fldChar w:fldCharType="separate"/>
        </w:r>
        <w:r w:rsidR="008E3E95">
          <w:rPr>
            <w:noProof/>
            <w:webHidden/>
          </w:rPr>
          <w:t>69</w:t>
        </w:r>
        <w:r>
          <w:rPr>
            <w:noProof/>
            <w:webHidden/>
          </w:rPr>
          <w:fldChar w:fldCharType="end"/>
        </w:r>
      </w:hyperlink>
    </w:p>
    <w:p w14:paraId="02005AFF" w14:textId="1E0DB51D" w:rsidR="00776CBF" w:rsidRDefault="00776CBF">
      <w:pPr>
        <w:pStyle w:val="31"/>
        <w:rPr>
          <w:rFonts w:asciiTheme="minorHAnsi" w:eastAsiaTheme="minorEastAsia" w:hAnsiTheme="minorHAnsi" w:cstheme="minorBidi"/>
          <w:kern w:val="2"/>
          <w14:ligatures w14:val="standardContextual"/>
        </w:rPr>
      </w:pPr>
      <w:hyperlink w:anchor="_Toc201901977" w:history="1">
        <w:r w:rsidRPr="00B30F81">
          <w:rPr>
            <w:rStyle w:val="a3"/>
          </w:rPr>
          <w:t>Рублевые средства населения в банках в мае практически не изменились после существенного увеличения в апреле. В ЦБ связывают такую динамику с тратами во время праздников</w:t>
        </w:r>
        <w:r>
          <w:rPr>
            <w:webHidden/>
          </w:rPr>
          <w:tab/>
        </w:r>
        <w:r>
          <w:rPr>
            <w:webHidden/>
          </w:rPr>
          <w:fldChar w:fldCharType="begin"/>
        </w:r>
        <w:r>
          <w:rPr>
            <w:webHidden/>
          </w:rPr>
          <w:instrText xml:space="preserve"> PAGEREF _Toc201901977 \h </w:instrText>
        </w:r>
        <w:r>
          <w:rPr>
            <w:webHidden/>
          </w:rPr>
        </w:r>
        <w:r>
          <w:rPr>
            <w:webHidden/>
          </w:rPr>
          <w:fldChar w:fldCharType="separate"/>
        </w:r>
        <w:r w:rsidR="008E3E95">
          <w:rPr>
            <w:webHidden/>
          </w:rPr>
          <w:t>69</w:t>
        </w:r>
        <w:r>
          <w:rPr>
            <w:webHidden/>
          </w:rPr>
          <w:fldChar w:fldCharType="end"/>
        </w:r>
      </w:hyperlink>
    </w:p>
    <w:p w14:paraId="62AFAD1F" w14:textId="39F4E311"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78" w:history="1">
        <w:r w:rsidRPr="00B30F81">
          <w:rPr>
            <w:rStyle w:val="a3"/>
            <w:noProof/>
          </w:rPr>
          <w:t>РБК, 27.06.2025, «Нам дали такой пинок, что мы хорошо полетели»</w:t>
        </w:r>
        <w:r>
          <w:rPr>
            <w:noProof/>
            <w:webHidden/>
          </w:rPr>
          <w:tab/>
        </w:r>
        <w:r>
          <w:rPr>
            <w:noProof/>
            <w:webHidden/>
          </w:rPr>
          <w:fldChar w:fldCharType="begin"/>
        </w:r>
        <w:r>
          <w:rPr>
            <w:noProof/>
            <w:webHidden/>
          </w:rPr>
          <w:instrText xml:space="preserve"> PAGEREF _Toc201901978 \h </w:instrText>
        </w:r>
        <w:r>
          <w:rPr>
            <w:noProof/>
            <w:webHidden/>
          </w:rPr>
        </w:r>
        <w:r>
          <w:rPr>
            <w:noProof/>
            <w:webHidden/>
          </w:rPr>
          <w:fldChar w:fldCharType="separate"/>
        </w:r>
        <w:r w:rsidR="008E3E95">
          <w:rPr>
            <w:noProof/>
            <w:webHidden/>
          </w:rPr>
          <w:t>71</w:t>
        </w:r>
        <w:r>
          <w:rPr>
            <w:noProof/>
            <w:webHidden/>
          </w:rPr>
          <w:fldChar w:fldCharType="end"/>
        </w:r>
      </w:hyperlink>
    </w:p>
    <w:p w14:paraId="089158DB" w14:textId="5F28BC58" w:rsidR="00776CBF" w:rsidRDefault="00776CBF">
      <w:pPr>
        <w:pStyle w:val="31"/>
        <w:rPr>
          <w:rFonts w:asciiTheme="minorHAnsi" w:eastAsiaTheme="minorEastAsia" w:hAnsiTheme="minorHAnsi" w:cstheme="minorBidi"/>
          <w:kern w:val="2"/>
          <w14:ligatures w14:val="standardContextual"/>
        </w:rPr>
      </w:pPr>
      <w:hyperlink w:anchor="_Toc201901979" w:history="1">
        <w:r w:rsidRPr="00B30F81">
          <w:rPr>
            <w:rStyle w:val="a3"/>
          </w:rPr>
          <w:t>Алексей Калинин вместе с другими представителями "Деловой России"13 мая встретился с президентом страны Владимиром Путиным и предложил расширить меры поддержки технологических компаний. В частности, он попросил распространить льготы на все компании, а не только на малые, установить льготы по НДФЛ для приобретения акций публичных компаний розничными инвесторами и рассмотреть меры поддержки профессиональных инвесторов со стороны Банка России: снизить резервные требования для банков и НПФ, вкладывающих средства в акции компаний, работающих по проектам технологического суверенитета.</w:t>
        </w:r>
        <w:r>
          <w:rPr>
            <w:webHidden/>
          </w:rPr>
          <w:tab/>
        </w:r>
        <w:r>
          <w:rPr>
            <w:webHidden/>
          </w:rPr>
          <w:fldChar w:fldCharType="begin"/>
        </w:r>
        <w:r>
          <w:rPr>
            <w:webHidden/>
          </w:rPr>
          <w:instrText xml:space="preserve"> PAGEREF _Toc201901979 \h </w:instrText>
        </w:r>
        <w:r>
          <w:rPr>
            <w:webHidden/>
          </w:rPr>
        </w:r>
        <w:r>
          <w:rPr>
            <w:webHidden/>
          </w:rPr>
          <w:fldChar w:fldCharType="separate"/>
        </w:r>
        <w:r w:rsidR="008E3E95">
          <w:rPr>
            <w:webHidden/>
          </w:rPr>
          <w:t>71</w:t>
        </w:r>
        <w:r>
          <w:rPr>
            <w:webHidden/>
          </w:rPr>
          <w:fldChar w:fldCharType="end"/>
        </w:r>
      </w:hyperlink>
    </w:p>
    <w:p w14:paraId="4B0A84D4" w14:textId="6106549F"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80" w:history="1">
        <w:r w:rsidRPr="00B30F81">
          <w:rPr>
            <w:rStyle w:val="a3"/>
            <w:noProof/>
          </w:rPr>
          <w:t>РИА Новости, 26.06.2025, Россия стремится снизить зависимость от западных финансовых институтов - Путин</w:t>
        </w:r>
        <w:r>
          <w:rPr>
            <w:noProof/>
            <w:webHidden/>
          </w:rPr>
          <w:tab/>
        </w:r>
        <w:r>
          <w:rPr>
            <w:noProof/>
            <w:webHidden/>
          </w:rPr>
          <w:fldChar w:fldCharType="begin"/>
        </w:r>
        <w:r>
          <w:rPr>
            <w:noProof/>
            <w:webHidden/>
          </w:rPr>
          <w:instrText xml:space="preserve"> PAGEREF _Toc201901980 \h </w:instrText>
        </w:r>
        <w:r>
          <w:rPr>
            <w:noProof/>
            <w:webHidden/>
          </w:rPr>
        </w:r>
        <w:r>
          <w:rPr>
            <w:noProof/>
            <w:webHidden/>
          </w:rPr>
          <w:fldChar w:fldCharType="separate"/>
        </w:r>
        <w:r w:rsidR="008E3E95">
          <w:rPr>
            <w:noProof/>
            <w:webHidden/>
          </w:rPr>
          <w:t>75</w:t>
        </w:r>
        <w:r>
          <w:rPr>
            <w:noProof/>
            <w:webHidden/>
          </w:rPr>
          <w:fldChar w:fldCharType="end"/>
        </w:r>
      </w:hyperlink>
    </w:p>
    <w:p w14:paraId="6D96867D" w14:textId="6ED0363C" w:rsidR="00776CBF" w:rsidRDefault="00776CBF">
      <w:pPr>
        <w:pStyle w:val="31"/>
        <w:rPr>
          <w:rFonts w:asciiTheme="minorHAnsi" w:eastAsiaTheme="minorEastAsia" w:hAnsiTheme="minorHAnsi" w:cstheme="minorBidi"/>
          <w:kern w:val="2"/>
          <w14:ligatures w14:val="standardContextual"/>
        </w:rPr>
      </w:pPr>
      <w:hyperlink w:anchor="_Toc201901981" w:history="1">
        <w:r w:rsidRPr="00B30F81">
          <w:rPr>
            <w:rStyle w:val="a3"/>
          </w:rPr>
          <w:t>Президент РФ Владимир Путин заявил, что Россия стремится снизить зависимость от западных финансовых институтов.</w:t>
        </w:r>
        <w:r>
          <w:rPr>
            <w:webHidden/>
          </w:rPr>
          <w:tab/>
        </w:r>
        <w:r>
          <w:rPr>
            <w:webHidden/>
          </w:rPr>
          <w:fldChar w:fldCharType="begin"/>
        </w:r>
        <w:r>
          <w:rPr>
            <w:webHidden/>
          </w:rPr>
          <w:instrText xml:space="preserve"> PAGEREF _Toc201901981 \h </w:instrText>
        </w:r>
        <w:r>
          <w:rPr>
            <w:webHidden/>
          </w:rPr>
        </w:r>
        <w:r>
          <w:rPr>
            <w:webHidden/>
          </w:rPr>
          <w:fldChar w:fldCharType="separate"/>
        </w:r>
        <w:r w:rsidR="008E3E95">
          <w:rPr>
            <w:webHidden/>
          </w:rPr>
          <w:t>75</w:t>
        </w:r>
        <w:r>
          <w:rPr>
            <w:webHidden/>
          </w:rPr>
          <w:fldChar w:fldCharType="end"/>
        </w:r>
      </w:hyperlink>
    </w:p>
    <w:p w14:paraId="42B26292" w14:textId="3910BE02"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82" w:history="1">
        <w:r w:rsidRPr="00B30F81">
          <w:rPr>
            <w:rStyle w:val="a3"/>
            <w:noProof/>
          </w:rPr>
          <w:t>РИА Новости, 26.06.2025, Путин: движение в сторону региональных фининститутов ускорится, если активы РФ конфискуют</w:t>
        </w:r>
        <w:r>
          <w:rPr>
            <w:noProof/>
            <w:webHidden/>
          </w:rPr>
          <w:tab/>
        </w:r>
        <w:r>
          <w:rPr>
            <w:noProof/>
            <w:webHidden/>
          </w:rPr>
          <w:fldChar w:fldCharType="begin"/>
        </w:r>
        <w:r>
          <w:rPr>
            <w:noProof/>
            <w:webHidden/>
          </w:rPr>
          <w:instrText xml:space="preserve"> PAGEREF _Toc201901982 \h </w:instrText>
        </w:r>
        <w:r>
          <w:rPr>
            <w:noProof/>
            <w:webHidden/>
          </w:rPr>
        </w:r>
        <w:r>
          <w:rPr>
            <w:noProof/>
            <w:webHidden/>
          </w:rPr>
          <w:fldChar w:fldCharType="separate"/>
        </w:r>
        <w:r w:rsidR="008E3E95">
          <w:rPr>
            <w:noProof/>
            <w:webHidden/>
          </w:rPr>
          <w:t>75</w:t>
        </w:r>
        <w:r>
          <w:rPr>
            <w:noProof/>
            <w:webHidden/>
          </w:rPr>
          <w:fldChar w:fldCharType="end"/>
        </w:r>
      </w:hyperlink>
    </w:p>
    <w:p w14:paraId="507C49F0" w14:textId="4B6F1116" w:rsidR="00776CBF" w:rsidRDefault="00776CBF">
      <w:pPr>
        <w:pStyle w:val="31"/>
        <w:rPr>
          <w:rFonts w:asciiTheme="minorHAnsi" w:eastAsiaTheme="minorEastAsia" w:hAnsiTheme="minorHAnsi" w:cstheme="minorBidi"/>
          <w:kern w:val="2"/>
          <w14:ligatures w14:val="standardContextual"/>
        </w:rPr>
      </w:pPr>
      <w:hyperlink w:anchor="_Toc201901983" w:history="1">
        <w:r w:rsidRPr="00B30F81">
          <w:rPr>
            <w:rStyle w:val="a3"/>
          </w:rPr>
          <w:t>Движение в сторону региональных финансовых институтов в мире только ускорится, если замороженные российские активы будут конфискованы, заявил президент РФ Владимир Путин.</w:t>
        </w:r>
        <w:r>
          <w:rPr>
            <w:webHidden/>
          </w:rPr>
          <w:tab/>
        </w:r>
        <w:r>
          <w:rPr>
            <w:webHidden/>
          </w:rPr>
          <w:fldChar w:fldCharType="begin"/>
        </w:r>
        <w:r>
          <w:rPr>
            <w:webHidden/>
          </w:rPr>
          <w:instrText xml:space="preserve"> PAGEREF _Toc201901983 \h </w:instrText>
        </w:r>
        <w:r>
          <w:rPr>
            <w:webHidden/>
          </w:rPr>
        </w:r>
        <w:r>
          <w:rPr>
            <w:webHidden/>
          </w:rPr>
          <w:fldChar w:fldCharType="separate"/>
        </w:r>
        <w:r w:rsidR="008E3E95">
          <w:rPr>
            <w:webHidden/>
          </w:rPr>
          <w:t>75</w:t>
        </w:r>
        <w:r>
          <w:rPr>
            <w:webHidden/>
          </w:rPr>
          <w:fldChar w:fldCharType="end"/>
        </w:r>
      </w:hyperlink>
    </w:p>
    <w:p w14:paraId="4B2D604B" w14:textId="3D49B290"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84" w:history="1">
        <w:r w:rsidRPr="00B30F81">
          <w:rPr>
            <w:rStyle w:val="a3"/>
            <w:noProof/>
          </w:rPr>
          <w:t>РИА Новости, 26.06.2025, Инфляция в России на 23 июня составила 9,48% в годовом выражении - Минэкономразвития</w:t>
        </w:r>
        <w:r>
          <w:rPr>
            <w:noProof/>
            <w:webHidden/>
          </w:rPr>
          <w:tab/>
        </w:r>
        <w:r>
          <w:rPr>
            <w:noProof/>
            <w:webHidden/>
          </w:rPr>
          <w:fldChar w:fldCharType="begin"/>
        </w:r>
        <w:r>
          <w:rPr>
            <w:noProof/>
            <w:webHidden/>
          </w:rPr>
          <w:instrText xml:space="preserve"> PAGEREF _Toc201901984 \h </w:instrText>
        </w:r>
        <w:r>
          <w:rPr>
            <w:noProof/>
            <w:webHidden/>
          </w:rPr>
        </w:r>
        <w:r>
          <w:rPr>
            <w:noProof/>
            <w:webHidden/>
          </w:rPr>
          <w:fldChar w:fldCharType="separate"/>
        </w:r>
        <w:r w:rsidR="008E3E95">
          <w:rPr>
            <w:noProof/>
            <w:webHidden/>
          </w:rPr>
          <w:t>75</w:t>
        </w:r>
        <w:r>
          <w:rPr>
            <w:noProof/>
            <w:webHidden/>
          </w:rPr>
          <w:fldChar w:fldCharType="end"/>
        </w:r>
      </w:hyperlink>
    </w:p>
    <w:p w14:paraId="26D3EA80" w14:textId="659A3F95" w:rsidR="00776CBF" w:rsidRDefault="00776CBF">
      <w:pPr>
        <w:pStyle w:val="31"/>
        <w:rPr>
          <w:rFonts w:asciiTheme="minorHAnsi" w:eastAsiaTheme="minorEastAsia" w:hAnsiTheme="minorHAnsi" w:cstheme="minorBidi"/>
          <w:kern w:val="2"/>
          <w14:ligatures w14:val="standardContextual"/>
        </w:rPr>
      </w:pPr>
      <w:hyperlink w:anchor="_Toc201901985" w:history="1">
        <w:r w:rsidRPr="00B30F81">
          <w:rPr>
            <w:rStyle w:val="a3"/>
          </w:rPr>
          <w:t>Инфляция в России на 23 июня замедлилась до 9,48% в годовом выражении с 9,59% неделей ранее, следует из обзора Минэкономразвития "О текущей ценовой ситуации".</w:t>
        </w:r>
        <w:r>
          <w:rPr>
            <w:webHidden/>
          </w:rPr>
          <w:tab/>
        </w:r>
        <w:r>
          <w:rPr>
            <w:webHidden/>
          </w:rPr>
          <w:fldChar w:fldCharType="begin"/>
        </w:r>
        <w:r>
          <w:rPr>
            <w:webHidden/>
          </w:rPr>
          <w:instrText xml:space="preserve"> PAGEREF _Toc201901985 \h </w:instrText>
        </w:r>
        <w:r>
          <w:rPr>
            <w:webHidden/>
          </w:rPr>
        </w:r>
        <w:r>
          <w:rPr>
            <w:webHidden/>
          </w:rPr>
          <w:fldChar w:fldCharType="separate"/>
        </w:r>
        <w:r w:rsidR="008E3E95">
          <w:rPr>
            <w:webHidden/>
          </w:rPr>
          <w:t>75</w:t>
        </w:r>
        <w:r>
          <w:rPr>
            <w:webHidden/>
          </w:rPr>
          <w:fldChar w:fldCharType="end"/>
        </w:r>
      </w:hyperlink>
    </w:p>
    <w:p w14:paraId="2AD7EE64" w14:textId="5B451DB9"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86" w:history="1">
        <w:r w:rsidRPr="00B30F81">
          <w:rPr>
            <w:rStyle w:val="a3"/>
            <w:noProof/>
          </w:rPr>
          <w:t>РИА Новости, 26.06.2025, Рецессии в России нет, есть плановое охлаждение экономики - Силуанов</w:t>
        </w:r>
        <w:r>
          <w:rPr>
            <w:noProof/>
            <w:webHidden/>
          </w:rPr>
          <w:tab/>
        </w:r>
        <w:r>
          <w:rPr>
            <w:noProof/>
            <w:webHidden/>
          </w:rPr>
          <w:fldChar w:fldCharType="begin"/>
        </w:r>
        <w:r>
          <w:rPr>
            <w:noProof/>
            <w:webHidden/>
          </w:rPr>
          <w:instrText xml:space="preserve"> PAGEREF _Toc201901986 \h </w:instrText>
        </w:r>
        <w:r>
          <w:rPr>
            <w:noProof/>
            <w:webHidden/>
          </w:rPr>
        </w:r>
        <w:r>
          <w:rPr>
            <w:noProof/>
            <w:webHidden/>
          </w:rPr>
          <w:fldChar w:fldCharType="separate"/>
        </w:r>
        <w:r w:rsidR="008E3E95">
          <w:rPr>
            <w:noProof/>
            <w:webHidden/>
          </w:rPr>
          <w:t>76</w:t>
        </w:r>
        <w:r>
          <w:rPr>
            <w:noProof/>
            <w:webHidden/>
          </w:rPr>
          <w:fldChar w:fldCharType="end"/>
        </w:r>
      </w:hyperlink>
    </w:p>
    <w:p w14:paraId="38E14D84" w14:textId="5594D8A1" w:rsidR="00776CBF" w:rsidRDefault="00776CBF">
      <w:pPr>
        <w:pStyle w:val="31"/>
        <w:rPr>
          <w:rFonts w:asciiTheme="minorHAnsi" w:eastAsiaTheme="minorEastAsia" w:hAnsiTheme="minorHAnsi" w:cstheme="minorBidi"/>
          <w:kern w:val="2"/>
          <w14:ligatures w14:val="standardContextual"/>
        </w:rPr>
      </w:pPr>
      <w:hyperlink w:anchor="_Toc201901987" w:history="1">
        <w:r w:rsidRPr="00B30F81">
          <w:rPr>
            <w:rStyle w:val="a3"/>
          </w:rPr>
          <w:t>Рецессии в России нет, сейчас есть плановое охлаждение экономики, а меры, принятые в рамках бюджета и денежно-кредитной политики ЦБ, дали свой результат - инфляция сократилась, сообщил министр финансов РФ Антон Силуанов в программе "Эффект Санчеса" на телеканале RT international.</w:t>
        </w:r>
        <w:r>
          <w:rPr>
            <w:webHidden/>
          </w:rPr>
          <w:tab/>
        </w:r>
        <w:r>
          <w:rPr>
            <w:webHidden/>
          </w:rPr>
          <w:fldChar w:fldCharType="begin"/>
        </w:r>
        <w:r>
          <w:rPr>
            <w:webHidden/>
          </w:rPr>
          <w:instrText xml:space="preserve"> PAGEREF _Toc201901987 \h </w:instrText>
        </w:r>
        <w:r>
          <w:rPr>
            <w:webHidden/>
          </w:rPr>
        </w:r>
        <w:r>
          <w:rPr>
            <w:webHidden/>
          </w:rPr>
          <w:fldChar w:fldCharType="separate"/>
        </w:r>
        <w:r w:rsidR="008E3E95">
          <w:rPr>
            <w:webHidden/>
          </w:rPr>
          <w:t>76</w:t>
        </w:r>
        <w:r>
          <w:rPr>
            <w:webHidden/>
          </w:rPr>
          <w:fldChar w:fldCharType="end"/>
        </w:r>
      </w:hyperlink>
    </w:p>
    <w:p w14:paraId="36679CF7" w14:textId="31B4D54B"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88" w:history="1">
        <w:r w:rsidRPr="00B30F81">
          <w:rPr>
            <w:rStyle w:val="a3"/>
            <w:noProof/>
          </w:rPr>
          <w:t>РИА Новости, 26.06.2025, ЦБ РФ обсудит с рынком возможность рефинансирования средств на покупку ЦФА в рамках лимита</w:t>
        </w:r>
        <w:r>
          <w:rPr>
            <w:noProof/>
            <w:webHidden/>
          </w:rPr>
          <w:tab/>
        </w:r>
        <w:r>
          <w:rPr>
            <w:noProof/>
            <w:webHidden/>
          </w:rPr>
          <w:fldChar w:fldCharType="begin"/>
        </w:r>
        <w:r>
          <w:rPr>
            <w:noProof/>
            <w:webHidden/>
          </w:rPr>
          <w:instrText xml:space="preserve"> PAGEREF _Toc201901988 \h </w:instrText>
        </w:r>
        <w:r>
          <w:rPr>
            <w:noProof/>
            <w:webHidden/>
          </w:rPr>
        </w:r>
        <w:r>
          <w:rPr>
            <w:noProof/>
            <w:webHidden/>
          </w:rPr>
          <w:fldChar w:fldCharType="separate"/>
        </w:r>
        <w:r w:rsidR="008E3E95">
          <w:rPr>
            <w:noProof/>
            <w:webHidden/>
          </w:rPr>
          <w:t>76</w:t>
        </w:r>
        <w:r>
          <w:rPr>
            <w:noProof/>
            <w:webHidden/>
          </w:rPr>
          <w:fldChar w:fldCharType="end"/>
        </w:r>
      </w:hyperlink>
    </w:p>
    <w:p w14:paraId="3FFD8BAB" w14:textId="76F8925F" w:rsidR="00776CBF" w:rsidRDefault="00776CBF">
      <w:pPr>
        <w:pStyle w:val="31"/>
        <w:rPr>
          <w:rFonts w:asciiTheme="minorHAnsi" w:eastAsiaTheme="minorEastAsia" w:hAnsiTheme="minorHAnsi" w:cstheme="minorBidi"/>
          <w:kern w:val="2"/>
          <w14:ligatures w14:val="standardContextual"/>
        </w:rPr>
      </w:pPr>
      <w:hyperlink w:anchor="_Toc201901989" w:history="1">
        <w:r w:rsidRPr="00B30F81">
          <w:rPr>
            <w:rStyle w:val="a3"/>
          </w:rPr>
          <w:t>Банк России готов обсудить с участниками рынка возможность рефинансирования неквалифицированными инвесторами средств на покупку цифровых финансовых активов (ЦФА) в рамках годового лимита, рассказала заместитель директора департамента инфраструктуры финансового рынка ЦБ РФ Кристина Алешина.</w:t>
        </w:r>
        <w:r>
          <w:rPr>
            <w:webHidden/>
          </w:rPr>
          <w:tab/>
        </w:r>
        <w:r>
          <w:rPr>
            <w:webHidden/>
          </w:rPr>
          <w:fldChar w:fldCharType="begin"/>
        </w:r>
        <w:r>
          <w:rPr>
            <w:webHidden/>
          </w:rPr>
          <w:instrText xml:space="preserve"> PAGEREF _Toc201901989 \h </w:instrText>
        </w:r>
        <w:r>
          <w:rPr>
            <w:webHidden/>
          </w:rPr>
        </w:r>
        <w:r>
          <w:rPr>
            <w:webHidden/>
          </w:rPr>
          <w:fldChar w:fldCharType="separate"/>
        </w:r>
        <w:r w:rsidR="008E3E95">
          <w:rPr>
            <w:webHidden/>
          </w:rPr>
          <w:t>76</w:t>
        </w:r>
        <w:r>
          <w:rPr>
            <w:webHidden/>
          </w:rPr>
          <w:fldChar w:fldCharType="end"/>
        </w:r>
      </w:hyperlink>
    </w:p>
    <w:p w14:paraId="7CE3F416" w14:textId="58F842A1"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90" w:history="1">
        <w:r w:rsidRPr="00B30F81">
          <w:rPr>
            <w:rStyle w:val="a3"/>
            <w:noProof/>
          </w:rPr>
          <w:t>РИА Новости, 26.06.2025, Недавний рост цен на нефть не влияет на планы по бюджету РФ - Силуанов</w:t>
        </w:r>
        <w:r>
          <w:rPr>
            <w:noProof/>
            <w:webHidden/>
          </w:rPr>
          <w:tab/>
        </w:r>
        <w:r>
          <w:rPr>
            <w:noProof/>
            <w:webHidden/>
          </w:rPr>
          <w:fldChar w:fldCharType="begin"/>
        </w:r>
        <w:r>
          <w:rPr>
            <w:noProof/>
            <w:webHidden/>
          </w:rPr>
          <w:instrText xml:space="preserve"> PAGEREF _Toc201901990 \h </w:instrText>
        </w:r>
        <w:r>
          <w:rPr>
            <w:noProof/>
            <w:webHidden/>
          </w:rPr>
        </w:r>
        <w:r>
          <w:rPr>
            <w:noProof/>
            <w:webHidden/>
          </w:rPr>
          <w:fldChar w:fldCharType="separate"/>
        </w:r>
        <w:r w:rsidR="008E3E95">
          <w:rPr>
            <w:noProof/>
            <w:webHidden/>
          </w:rPr>
          <w:t>77</w:t>
        </w:r>
        <w:r>
          <w:rPr>
            <w:noProof/>
            <w:webHidden/>
          </w:rPr>
          <w:fldChar w:fldCharType="end"/>
        </w:r>
      </w:hyperlink>
    </w:p>
    <w:p w14:paraId="5017EF72" w14:textId="573E6132" w:rsidR="00776CBF" w:rsidRDefault="00776CBF">
      <w:pPr>
        <w:pStyle w:val="31"/>
        <w:rPr>
          <w:rFonts w:asciiTheme="minorHAnsi" w:eastAsiaTheme="minorEastAsia" w:hAnsiTheme="minorHAnsi" w:cstheme="minorBidi"/>
          <w:kern w:val="2"/>
          <w14:ligatures w14:val="standardContextual"/>
        </w:rPr>
      </w:pPr>
      <w:hyperlink w:anchor="_Toc201901991" w:history="1">
        <w:r w:rsidRPr="00B30F81">
          <w:rPr>
            <w:rStyle w:val="a3"/>
          </w:rPr>
          <w:t>Цены на нефть на фоне конфликта на Ближнем Востоке подросли, но неизвестно, сколько это продолжится; Россия планирует бюджет, ориентируясь на собственные консервативные прогнозы, а не на конъюнктурные изменения рынка и не исходит из того, что получит какие-то допдоходы, сообщил министр финансов РФ Антон Силуанов.</w:t>
        </w:r>
        <w:r>
          <w:rPr>
            <w:webHidden/>
          </w:rPr>
          <w:tab/>
        </w:r>
        <w:r>
          <w:rPr>
            <w:webHidden/>
          </w:rPr>
          <w:fldChar w:fldCharType="begin"/>
        </w:r>
        <w:r>
          <w:rPr>
            <w:webHidden/>
          </w:rPr>
          <w:instrText xml:space="preserve"> PAGEREF _Toc201901991 \h </w:instrText>
        </w:r>
        <w:r>
          <w:rPr>
            <w:webHidden/>
          </w:rPr>
        </w:r>
        <w:r>
          <w:rPr>
            <w:webHidden/>
          </w:rPr>
          <w:fldChar w:fldCharType="separate"/>
        </w:r>
        <w:r w:rsidR="008E3E95">
          <w:rPr>
            <w:webHidden/>
          </w:rPr>
          <w:t>77</w:t>
        </w:r>
        <w:r>
          <w:rPr>
            <w:webHidden/>
          </w:rPr>
          <w:fldChar w:fldCharType="end"/>
        </w:r>
      </w:hyperlink>
    </w:p>
    <w:p w14:paraId="4149C134" w14:textId="62464279"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92" w:history="1">
        <w:r w:rsidRPr="00B30F81">
          <w:rPr>
            <w:rStyle w:val="a3"/>
            <w:noProof/>
          </w:rPr>
          <w:t>РИА Финмаркет, 26.06.2025, Цены рублевых корпбондов в четверг не продемонстрируют яркой динамики на фоне противоречивых факторов</w:t>
        </w:r>
        <w:r>
          <w:rPr>
            <w:noProof/>
            <w:webHidden/>
          </w:rPr>
          <w:tab/>
        </w:r>
        <w:r>
          <w:rPr>
            <w:noProof/>
            <w:webHidden/>
          </w:rPr>
          <w:fldChar w:fldCharType="begin"/>
        </w:r>
        <w:r>
          <w:rPr>
            <w:noProof/>
            <w:webHidden/>
          </w:rPr>
          <w:instrText xml:space="preserve"> PAGEREF _Toc201901992 \h </w:instrText>
        </w:r>
        <w:r>
          <w:rPr>
            <w:noProof/>
            <w:webHidden/>
          </w:rPr>
        </w:r>
        <w:r>
          <w:rPr>
            <w:noProof/>
            <w:webHidden/>
          </w:rPr>
          <w:fldChar w:fldCharType="separate"/>
        </w:r>
        <w:r w:rsidR="008E3E95">
          <w:rPr>
            <w:noProof/>
            <w:webHidden/>
          </w:rPr>
          <w:t>78</w:t>
        </w:r>
        <w:r>
          <w:rPr>
            <w:noProof/>
            <w:webHidden/>
          </w:rPr>
          <w:fldChar w:fldCharType="end"/>
        </w:r>
      </w:hyperlink>
    </w:p>
    <w:p w14:paraId="4585CB18" w14:textId="59580DD1" w:rsidR="00776CBF" w:rsidRDefault="00776CBF">
      <w:pPr>
        <w:pStyle w:val="31"/>
        <w:rPr>
          <w:rFonts w:asciiTheme="minorHAnsi" w:eastAsiaTheme="minorEastAsia" w:hAnsiTheme="minorHAnsi" w:cstheme="minorBidi"/>
          <w:kern w:val="2"/>
          <w14:ligatures w14:val="standardContextual"/>
        </w:rPr>
      </w:pPr>
      <w:hyperlink w:anchor="_Toc201901993" w:history="1">
        <w:r w:rsidRPr="00B30F81">
          <w:rPr>
            <w:rStyle w:val="a3"/>
          </w:rPr>
          <w:t>Котировки рублевых корпоблигаций в четверг, скорее всего, не продемонстрируют ярко выраженной динамики из-за влияния противоречивых внешних и внутренних факторов, в том числе неопределенности относительно дальнейшего снижения ключевой ставки ЦБ, с одной стороны, и спада напряженности на Ближнем Востоке, с другой стороны, полагают эксперты "Интерфакс-ЦЭА".</w:t>
        </w:r>
        <w:r>
          <w:rPr>
            <w:webHidden/>
          </w:rPr>
          <w:tab/>
        </w:r>
        <w:r>
          <w:rPr>
            <w:webHidden/>
          </w:rPr>
          <w:fldChar w:fldCharType="begin"/>
        </w:r>
        <w:r>
          <w:rPr>
            <w:webHidden/>
          </w:rPr>
          <w:instrText xml:space="preserve"> PAGEREF _Toc201901993 \h </w:instrText>
        </w:r>
        <w:r>
          <w:rPr>
            <w:webHidden/>
          </w:rPr>
        </w:r>
        <w:r>
          <w:rPr>
            <w:webHidden/>
          </w:rPr>
          <w:fldChar w:fldCharType="separate"/>
        </w:r>
        <w:r w:rsidR="008E3E95">
          <w:rPr>
            <w:webHidden/>
          </w:rPr>
          <w:t>78</w:t>
        </w:r>
        <w:r>
          <w:rPr>
            <w:webHidden/>
          </w:rPr>
          <w:fldChar w:fldCharType="end"/>
        </w:r>
      </w:hyperlink>
    </w:p>
    <w:p w14:paraId="38CD4471" w14:textId="653E8EC2"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94" w:history="1">
        <w:r w:rsidRPr="00B30F81">
          <w:rPr>
            <w:rStyle w:val="a3"/>
            <w:noProof/>
          </w:rPr>
          <w:t>РИА Финмаркет, 26.06.2025, ЦБ РФ: средства юрлиц в банках в мае выросли на 0,4%, населения - на 0,2%</w:t>
        </w:r>
        <w:r>
          <w:rPr>
            <w:noProof/>
            <w:webHidden/>
          </w:rPr>
          <w:tab/>
        </w:r>
        <w:r>
          <w:rPr>
            <w:noProof/>
            <w:webHidden/>
          </w:rPr>
          <w:fldChar w:fldCharType="begin"/>
        </w:r>
        <w:r>
          <w:rPr>
            <w:noProof/>
            <w:webHidden/>
          </w:rPr>
          <w:instrText xml:space="preserve"> PAGEREF _Toc201901994 \h </w:instrText>
        </w:r>
        <w:r>
          <w:rPr>
            <w:noProof/>
            <w:webHidden/>
          </w:rPr>
        </w:r>
        <w:r>
          <w:rPr>
            <w:noProof/>
            <w:webHidden/>
          </w:rPr>
          <w:fldChar w:fldCharType="separate"/>
        </w:r>
        <w:r w:rsidR="008E3E95">
          <w:rPr>
            <w:noProof/>
            <w:webHidden/>
          </w:rPr>
          <w:t>82</w:t>
        </w:r>
        <w:r>
          <w:rPr>
            <w:noProof/>
            <w:webHidden/>
          </w:rPr>
          <w:fldChar w:fldCharType="end"/>
        </w:r>
      </w:hyperlink>
    </w:p>
    <w:p w14:paraId="35C76C08" w14:textId="54DE661A" w:rsidR="00776CBF" w:rsidRDefault="00776CBF">
      <w:pPr>
        <w:pStyle w:val="31"/>
        <w:rPr>
          <w:rFonts w:asciiTheme="minorHAnsi" w:eastAsiaTheme="minorEastAsia" w:hAnsiTheme="minorHAnsi" w:cstheme="minorBidi"/>
          <w:kern w:val="2"/>
          <w14:ligatures w14:val="standardContextual"/>
        </w:rPr>
      </w:pPr>
      <w:hyperlink w:anchor="_Toc201901995" w:history="1">
        <w:r w:rsidRPr="00B30F81">
          <w:rPr>
            <w:rStyle w:val="a3"/>
          </w:rPr>
          <w:t>Средства компаний в российских банках в мае выросли на умеренные 0,4% (253 млрд руб.) после сокращения в апреле на 0,7% на фоне крупных налоговых выплат, говорится в обзоре ЦБ РФ о развитии банковского сектора.</w:t>
        </w:r>
        <w:r>
          <w:rPr>
            <w:webHidden/>
          </w:rPr>
          <w:tab/>
        </w:r>
        <w:r>
          <w:rPr>
            <w:webHidden/>
          </w:rPr>
          <w:fldChar w:fldCharType="begin"/>
        </w:r>
        <w:r>
          <w:rPr>
            <w:webHidden/>
          </w:rPr>
          <w:instrText xml:space="preserve"> PAGEREF _Toc201901995 \h </w:instrText>
        </w:r>
        <w:r>
          <w:rPr>
            <w:webHidden/>
          </w:rPr>
        </w:r>
        <w:r>
          <w:rPr>
            <w:webHidden/>
          </w:rPr>
          <w:fldChar w:fldCharType="separate"/>
        </w:r>
        <w:r w:rsidR="008E3E95">
          <w:rPr>
            <w:webHidden/>
          </w:rPr>
          <w:t>82</w:t>
        </w:r>
        <w:r>
          <w:rPr>
            <w:webHidden/>
          </w:rPr>
          <w:fldChar w:fldCharType="end"/>
        </w:r>
      </w:hyperlink>
    </w:p>
    <w:p w14:paraId="3E884599" w14:textId="5A145F75"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96" w:history="1">
        <w:r w:rsidRPr="00B30F81">
          <w:rPr>
            <w:rStyle w:val="a3"/>
            <w:noProof/>
          </w:rPr>
          <w:t>Банки.ру, 26.06.2025, Инфляция уверенно тормозит: как это повлияет на решение ЦБ по ключевой ставке</w:t>
        </w:r>
        <w:r>
          <w:rPr>
            <w:noProof/>
            <w:webHidden/>
          </w:rPr>
          <w:tab/>
        </w:r>
        <w:r>
          <w:rPr>
            <w:noProof/>
            <w:webHidden/>
          </w:rPr>
          <w:fldChar w:fldCharType="begin"/>
        </w:r>
        <w:r>
          <w:rPr>
            <w:noProof/>
            <w:webHidden/>
          </w:rPr>
          <w:instrText xml:space="preserve"> PAGEREF _Toc201901996 \h </w:instrText>
        </w:r>
        <w:r>
          <w:rPr>
            <w:noProof/>
            <w:webHidden/>
          </w:rPr>
        </w:r>
        <w:r>
          <w:rPr>
            <w:noProof/>
            <w:webHidden/>
          </w:rPr>
          <w:fldChar w:fldCharType="separate"/>
        </w:r>
        <w:r w:rsidR="008E3E95">
          <w:rPr>
            <w:noProof/>
            <w:webHidden/>
          </w:rPr>
          <w:t>83</w:t>
        </w:r>
        <w:r>
          <w:rPr>
            <w:noProof/>
            <w:webHidden/>
          </w:rPr>
          <w:fldChar w:fldCharType="end"/>
        </w:r>
      </w:hyperlink>
    </w:p>
    <w:p w14:paraId="0CE2DE7E" w14:textId="1FE4CF35" w:rsidR="00776CBF" w:rsidRDefault="00776CBF">
      <w:pPr>
        <w:pStyle w:val="31"/>
        <w:rPr>
          <w:rFonts w:asciiTheme="minorHAnsi" w:eastAsiaTheme="minorEastAsia" w:hAnsiTheme="minorHAnsi" w:cstheme="minorBidi"/>
          <w:kern w:val="2"/>
          <w14:ligatures w14:val="standardContextual"/>
        </w:rPr>
      </w:pPr>
      <w:hyperlink w:anchor="_Toc201901997" w:history="1">
        <w:r w:rsidRPr="00B30F81">
          <w:rPr>
            <w:rStyle w:val="a3"/>
          </w:rPr>
          <w:t>Инфляция в России на прошлой неделе составила 0,04%. С начала месяца цены выросли на 0,12%, с начала года - на 3,68%. Годовая инфляция по состоянию на 23 июня замедлилась до 9,41%.</w:t>
        </w:r>
        <w:r>
          <w:rPr>
            <w:webHidden/>
          </w:rPr>
          <w:tab/>
        </w:r>
        <w:r>
          <w:rPr>
            <w:webHidden/>
          </w:rPr>
          <w:fldChar w:fldCharType="begin"/>
        </w:r>
        <w:r>
          <w:rPr>
            <w:webHidden/>
          </w:rPr>
          <w:instrText xml:space="preserve"> PAGEREF _Toc201901997 \h </w:instrText>
        </w:r>
        <w:r>
          <w:rPr>
            <w:webHidden/>
          </w:rPr>
        </w:r>
        <w:r>
          <w:rPr>
            <w:webHidden/>
          </w:rPr>
          <w:fldChar w:fldCharType="separate"/>
        </w:r>
        <w:r w:rsidR="008E3E95">
          <w:rPr>
            <w:webHidden/>
          </w:rPr>
          <w:t>83</w:t>
        </w:r>
        <w:r>
          <w:rPr>
            <w:webHidden/>
          </w:rPr>
          <w:fldChar w:fldCharType="end"/>
        </w:r>
      </w:hyperlink>
    </w:p>
    <w:p w14:paraId="767E4E6E" w14:textId="6DAA4DE0"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1998" w:history="1">
        <w:r w:rsidRPr="00B30F81">
          <w:rPr>
            <w:rStyle w:val="a3"/>
            <w:noProof/>
          </w:rPr>
          <w:t>Страхование сегодня, 26.06.2025, От накоплений к инвестициям</w:t>
        </w:r>
        <w:r>
          <w:rPr>
            <w:noProof/>
            <w:webHidden/>
          </w:rPr>
          <w:tab/>
        </w:r>
        <w:r>
          <w:rPr>
            <w:noProof/>
            <w:webHidden/>
          </w:rPr>
          <w:fldChar w:fldCharType="begin"/>
        </w:r>
        <w:r>
          <w:rPr>
            <w:noProof/>
            <w:webHidden/>
          </w:rPr>
          <w:instrText xml:space="preserve"> PAGEREF _Toc201901998 \h </w:instrText>
        </w:r>
        <w:r>
          <w:rPr>
            <w:noProof/>
            <w:webHidden/>
          </w:rPr>
        </w:r>
        <w:r>
          <w:rPr>
            <w:noProof/>
            <w:webHidden/>
          </w:rPr>
          <w:fldChar w:fldCharType="separate"/>
        </w:r>
        <w:r w:rsidR="008E3E95">
          <w:rPr>
            <w:noProof/>
            <w:webHidden/>
          </w:rPr>
          <w:t>83</w:t>
        </w:r>
        <w:r>
          <w:rPr>
            <w:noProof/>
            <w:webHidden/>
          </w:rPr>
          <w:fldChar w:fldCharType="end"/>
        </w:r>
      </w:hyperlink>
    </w:p>
    <w:p w14:paraId="6693B6D0" w14:textId="2A2683EA" w:rsidR="00776CBF" w:rsidRDefault="00776CBF">
      <w:pPr>
        <w:pStyle w:val="31"/>
        <w:rPr>
          <w:rFonts w:asciiTheme="minorHAnsi" w:eastAsiaTheme="minorEastAsia" w:hAnsiTheme="minorHAnsi" w:cstheme="minorBidi"/>
          <w:kern w:val="2"/>
          <w14:ligatures w14:val="standardContextual"/>
        </w:rPr>
      </w:pPr>
      <w:hyperlink w:anchor="_Toc201901999" w:history="1">
        <w:r w:rsidRPr="00B30F81">
          <w:rPr>
            <w:rStyle w:val="a3"/>
          </w:rPr>
          <w:t>Рынок страхования жизни в первом квартале 2025 года показал уверенный рост, хотя и не столь масштабный, как во второй половине года прошлого. Стремительный рост показали выплаты. Фокус внимания страхователей при этом сместился с накопительного на инвестиционное страхование жизни, и выросла популярность долгосрочных продуктов. Наибольший прирост премий наблюдался в инвестиционном сегменте по договорам со сроком более десяти лет.</w:t>
        </w:r>
        <w:r>
          <w:rPr>
            <w:webHidden/>
          </w:rPr>
          <w:tab/>
        </w:r>
        <w:r>
          <w:rPr>
            <w:webHidden/>
          </w:rPr>
          <w:fldChar w:fldCharType="begin"/>
        </w:r>
        <w:r>
          <w:rPr>
            <w:webHidden/>
          </w:rPr>
          <w:instrText xml:space="preserve"> PAGEREF _Toc201901999 \h </w:instrText>
        </w:r>
        <w:r>
          <w:rPr>
            <w:webHidden/>
          </w:rPr>
        </w:r>
        <w:r>
          <w:rPr>
            <w:webHidden/>
          </w:rPr>
          <w:fldChar w:fldCharType="separate"/>
        </w:r>
        <w:r w:rsidR="008E3E95">
          <w:rPr>
            <w:webHidden/>
          </w:rPr>
          <w:t>83</w:t>
        </w:r>
        <w:r>
          <w:rPr>
            <w:webHidden/>
          </w:rPr>
          <w:fldChar w:fldCharType="end"/>
        </w:r>
      </w:hyperlink>
    </w:p>
    <w:p w14:paraId="4BD93648" w14:textId="5ACCA472"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2000" w:history="1">
        <w:r w:rsidRPr="00B30F81">
          <w:rPr>
            <w:rStyle w:val="a3"/>
            <w:noProof/>
          </w:rPr>
          <w:t>Страхование сегодня, 26.06.2025, «Урегулирование - это ключевое предложение страховщиков»</w:t>
        </w:r>
        <w:r>
          <w:rPr>
            <w:noProof/>
            <w:webHidden/>
          </w:rPr>
          <w:tab/>
        </w:r>
        <w:r>
          <w:rPr>
            <w:noProof/>
            <w:webHidden/>
          </w:rPr>
          <w:fldChar w:fldCharType="begin"/>
        </w:r>
        <w:r>
          <w:rPr>
            <w:noProof/>
            <w:webHidden/>
          </w:rPr>
          <w:instrText xml:space="preserve"> PAGEREF _Toc201902000 \h </w:instrText>
        </w:r>
        <w:r>
          <w:rPr>
            <w:noProof/>
            <w:webHidden/>
          </w:rPr>
        </w:r>
        <w:r>
          <w:rPr>
            <w:noProof/>
            <w:webHidden/>
          </w:rPr>
          <w:fldChar w:fldCharType="separate"/>
        </w:r>
        <w:r w:rsidR="008E3E95">
          <w:rPr>
            <w:noProof/>
            <w:webHidden/>
          </w:rPr>
          <w:t>87</w:t>
        </w:r>
        <w:r>
          <w:rPr>
            <w:noProof/>
            <w:webHidden/>
          </w:rPr>
          <w:fldChar w:fldCharType="end"/>
        </w:r>
      </w:hyperlink>
    </w:p>
    <w:p w14:paraId="6704577F" w14:textId="228A4247" w:rsidR="00776CBF" w:rsidRDefault="00776CBF">
      <w:pPr>
        <w:pStyle w:val="31"/>
        <w:rPr>
          <w:rFonts w:asciiTheme="minorHAnsi" w:eastAsiaTheme="minorEastAsia" w:hAnsiTheme="minorHAnsi" w:cstheme="minorBidi"/>
          <w:kern w:val="2"/>
          <w14:ligatures w14:val="standardContextual"/>
        </w:rPr>
      </w:pPr>
      <w:hyperlink w:anchor="_Toc201902001" w:history="1">
        <w:r w:rsidRPr="00B30F81">
          <w:rPr>
            <w:rStyle w:val="a3"/>
          </w:rPr>
          <w:t>Говорим с участниками рынка страхования о значении и особенностях конкуренции на страховом рынке: с кем и как сейчас конкурируют игроки рынка, за счет чего выигрывается конкурентная гонка, каковы ее главные критерии.</w:t>
        </w:r>
        <w:r>
          <w:rPr>
            <w:webHidden/>
          </w:rPr>
          <w:tab/>
        </w:r>
        <w:r>
          <w:rPr>
            <w:webHidden/>
          </w:rPr>
          <w:fldChar w:fldCharType="begin"/>
        </w:r>
        <w:r>
          <w:rPr>
            <w:webHidden/>
          </w:rPr>
          <w:instrText xml:space="preserve"> PAGEREF _Toc201902001 \h </w:instrText>
        </w:r>
        <w:r>
          <w:rPr>
            <w:webHidden/>
          </w:rPr>
        </w:r>
        <w:r>
          <w:rPr>
            <w:webHidden/>
          </w:rPr>
          <w:fldChar w:fldCharType="separate"/>
        </w:r>
        <w:r w:rsidR="008E3E95">
          <w:rPr>
            <w:webHidden/>
          </w:rPr>
          <w:t>87</w:t>
        </w:r>
        <w:r>
          <w:rPr>
            <w:webHidden/>
          </w:rPr>
          <w:fldChar w:fldCharType="end"/>
        </w:r>
      </w:hyperlink>
    </w:p>
    <w:p w14:paraId="2C9DA032" w14:textId="5C8F2A06"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2002" w:history="1">
        <w:r w:rsidRPr="00B30F81">
          <w:rPr>
            <w:rStyle w:val="a3"/>
            <w:noProof/>
          </w:rPr>
          <w:t>Пенсия.pro, 26.06.2025, Как копить с иностранными ценными бумагами в 2025 году — полная инструкция</w:t>
        </w:r>
        <w:r>
          <w:rPr>
            <w:noProof/>
            <w:webHidden/>
          </w:rPr>
          <w:tab/>
        </w:r>
        <w:r>
          <w:rPr>
            <w:noProof/>
            <w:webHidden/>
          </w:rPr>
          <w:fldChar w:fldCharType="begin"/>
        </w:r>
        <w:r>
          <w:rPr>
            <w:noProof/>
            <w:webHidden/>
          </w:rPr>
          <w:instrText xml:space="preserve"> PAGEREF _Toc201902002 \h </w:instrText>
        </w:r>
        <w:r>
          <w:rPr>
            <w:noProof/>
            <w:webHidden/>
          </w:rPr>
        </w:r>
        <w:r>
          <w:rPr>
            <w:noProof/>
            <w:webHidden/>
          </w:rPr>
          <w:fldChar w:fldCharType="separate"/>
        </w:r>
        <w:r w:rsidR="008E3E95">
          <w:rPr>
            <w:noProof/>
            <w:webHidden/>
          </w:rPr>
          <w:t>91</w:t>
        </w:r>
        <w:r>
          <w:rPr>
            <w:noProof/>
            <w:webHidden/>
          </w:rPr>
          <w:fldChar w:fldCharType="end"/>
        </w:r>
      </w:hyperlink>
    </w:p>
    <w:p w14:paraId="361757B6" w14:textId="31DE9E7C" w:rsidR="00776CBF" w:rsidRDefault="00776CBF">
      <w:pPr>
        <w:pStyle w:val="31"/>
        <w:rPr>
          <w:rFonts w:asciiTheme="minorHAnsi" w:eastAsiaTheme="minorEastAsia" w:hAnsiTheme="minorHAnsi" w:cstheme="minorBidi"/>
          <w:kern w:val="2"/>
          <w14:ligatures w14:val="standardContextual"/>
        </w:rPr>
      </w:pPr>
      <w:hyperlink w:anchor="_Toc201902003" w:history="1">
        <w:r w:rsidRPr="00B30F81">
          <w:rPr>
            <w:rStyle w:val="a3"/>
          </w:rPr>
          <w:t>Российские компании отказываются платить дивиденды, доходность облигаций вот-вот начнется снижаться, Мосбиржа в целом последние годы не отличается стабильностью. До 2022 года было просто: можно было инвестировать в иностранные ценные бумаги. Теперь на Apple или Tesla так просто не заработаешь. Как из-за международных санкций, так и из-за внутренних ограничений. Однако инвестировать в иностранные ценные бумаги можно. Объясняем, как.</w:t>
        </w:r>
        <w:r>
          <w:rPr>
            <w:webHidden/>
          </w:rPr>
          <w:tab/>
        </w:r>
        <w:r>
          <w:rPr>
            <w:webHidden/>
          </w:rPr>
          <w:fldChar w:fldCharType="begin"/>
        </w:r>
        <w:r>
          <w:rPr>
            <w:webHidden/>
          </w:rPr>
          <w:instrText xml:space="preserve"> PAGEREF _Toc201902003 \h </w:instrText>
        </w:r>
        <w:r>
          <w:rPr>
            <w:webHidden/>
          </w:rPr>
        </w:r>
        <w:r>
          <w:rPr>
            <w:webHidden/>
          </w:rPr>
          <w:fldChar w:fldCharType="separate"/>
        </w:r>
        <w:r w:rsidR="008E3E95">
          <w:rPr>
            <w:webHidden/>
          </w:rPr>
          <w:t>91</w:t>
        </w:r>
        <w:r>
          <w:rPr>
            <w:webHidden/>
          </w:rPr>
          <w:fldChar w:fldCharType="end"/>
        </w:r>
      </w:hyperlink>
    </w:p>
    <w:p w14:paraId="388CA7C6" w14:textId="021EF402"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2004" w:history="1">
        <w:r w:rsidRPr="00B30F81">
          <w:rPr>
            <w:rStyle w:val="a3"/>
            <w:noProof/>
          </w:rPr>
          <w:t>Msaonline, 26.06.2025, Эксперт об устойчивом экономическом росте в России</w:t>
        </w:r>
        <w:r>
          <w:rPr>
            <w:noProof/>
            <w:webHidden/>
          </w:rPr>
          <w:tab/>
        </w:r>
        <w:r>
          <w:rPr>
            <w:noProof/>
            <w:webHidden/>
          </w:rPr>
          <w:fldChar w:fldCharType="begin"/>
        </w:r>
        <w:r>
          <w:rPr>
            <w:noProof/>
            <w:webHidden/>
          </w:rPr>
          <w:instrText xml:space="preserve"> PAGEREF _Toc201902004 \h </w:instrText>
        </w:r>
        <w:r>
          <w:rPr>
            <w:noProof/>
            <w:webHidden/>
          </w:rPr>
        </w:r>
        <w:r>
          <w:rPr>
            <w:noProof/>
            <w:webHidden/>
          </w:rPr>
          <w:fldChar w:fldCharType="separate"/>
        </w:r>
        <w:r w:rsidR="008E3E95">
          <w:rPr>
            <w:noProof/>
            <w:webHidden/>
          </w:rPr>
          <w:t>95</w:t>
        </w:r>
        <w:r>
          <w:rPr>
            <w:noProof/>
            <w:webHidden/>
          </w:rPr>
          <w:fldChar w:fldCharType="end"/>
        </w:r>
      </w:hyperlink>
    </w:p>
    <w:p w14:paraId="070D3BC9" w14:textId="6A37137B" w:rsidR="00776CBF" w:rsidRDefault="00776CBF">
      <w:pPr>
        <w:pStyle w:val="31"/>
        <w:rPr>
          <w:rFonts w:asciiTheme="minorHAnsi" w:eastAsiaTheme="minorEastAsia" w:hAnsiTheme="minorHAnsi" w:cstheme="minorBidi"/>
          <w:kern w:val="2"/>
          <w14:ligatures w14:val="standardContextual"/>
        </w:rPr>
      </w:pPr>
      <w:hyperlink w:anchor="_Toc201902005" w:history="1">
        <w:r w:rsidRPr="00B30F81">
          <w:rPr>
            <w:rStyle w:val="a3"/>
          </w:rPr>
          <w:t>Среди приоритетных задач развития государства - обеспечение гармоничного экономического роста и преобразование структуры экономики. В рамках ПМЭФ участники различных обсуждений анализировали механизмы достижения качественных сдвигов в экономике, принимая</w:t>
        </w:r>
        <w:r>
          <w:rPr>
            <w:webHidden/>
          </w:rPr>
          <w:tab/>
        </w:r>
        <w:r>
          <w:rPr>
            <w:webHidden/>
          </w:rPr>
          <w:fldChar w:fldCharType="begin"/>
        </w:r>
        <w:r>
          <w:rPr>
            <w:webHidden/>
          </w:rPr>
          <w:instrText xml:space="preserve"> PAGEREF _Toc201902005 \h </w:instrText>
        </w:r>
        <w:r>
          <w:rPr>
            <w:webHidden/>
          </w:rPr>
        </w:r>
        <w:r>
          <w:rPr>
            <w:webHidden/>
          </w:rPr>
          <w:fldChar w:fldCharType="separate"/>
        </w:r>
        <w:r w:rsidR="008E3E95">
          <w:rPr>
            <w:webHidden/>
          </w:rPr>
          <w:t>95</w:t>
        </w:r>
        <w:r>
          <w:rPr>
            <w:webHidden/>
          </w:rPr>
          <w:fldChar w:fldCharType="end"/>
        </w:r>
      </w:hyperlink>
    </w:p>
    <w:p w14:paraId="21BB543B" w14:textId="58DCD209" w:rsidR="00776CBF" w:rsidRDefault="00776CB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902006" w:history="1">
        <w:r w:rsidRPr="00B30F8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_Toc201902006 \h </w:instrText>
        </w:r>
        <w:r>
          <w:rPr>
            <w:noProof/>
            <w:webHidden/>
          </w:rPr>
        </w:r>
        <w:r>
          <w:rPr>
            <w:noProof/>
            <w:webHidden/>
          </w:rPr>
          <w:fldChar w:fldCharType="separate"/>
        </w:r>
        <w:r w:rsidR="008E3E95">
          <w:rPr>
            <w:noProof/>
            <w:webHidden/>
          </w:rPr>
          <w:t>97</w:t>
        </w:r>
        <w:r>
          <w:rPr>
            <w:noProof/>
            <w:webHidden/>
          </w:rPr>
          <w:fldChar w:fldCharType="end"/>
        </w:r>
      </w:hyperlink>
    </w:p>
    <w:p w14:paraId="2A9B167B" w14:textId="071F16DD" w:rsidR="00776CBF" w:rsidRDefault="00776CB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902007" w:history="1">
        <w:r w:rsidRPr="00B30F8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_Toc201902007 \h </w:instrText>
        </w:r>
        <w:r>
          <w:rPr>
            <w:noProof/>
            <w:webHidden/>
          </w:rPr>
        </w:r>
        <w:r>
          <w:rPr>
            <w:noProof/>
            <w:webHidden/>
          </w:rPr>
          <w:fldChar w:fldCharType="separate"/>
        </w:r>
        <w:r w:rsidR="008E3E95">
          <w:rPr>
            <w:noProof/>
            <w:webHidden/>
          </w:rPr>
          <w:t>97</w:t>
        </w:r>
        <w:r>
          <w:rPr>
            <w:noProof/>
            <w:webHidden/>
          </w:rPr>
          <w:fldChar w:fldCharType="end"/>
        </w:r>
      </w:hyperlink>
    </w:p>
    <w:p w14:paraId="1ABA2542" w14:textId="3AE8CF9E"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2008" w:history="1">
        <w:r w:rsidRPr="00B30F81">
          <w:rPr>
            <w:rStyle w:val="a3"/>
            <w:noProof/>
          </w:rPr>
          <w:t>inbusiness.kz, 26.06.2025, Инфляция продолжает "съедать" пенсии казахстанцев</w:t>
        </w:r>
        <w:r>
          <w:rPr>
            <w:noProof/>
            <w:webHidden/>
          </w:rPr>
          <w:tab/>
        </w:r>
        <w:r>
          <w:rPr>
            <w:noProof/>
            <w:webHidden/>
          </w:rPr>
          <w:fldChar w:fldCharType="begin"/>
        </w:r>
        <w:r>
          <w:rPr>
            <w:noProof/>
            <w:webHidden/>
          </w:rPr>
          <w:instrText xml:space="preserve"> PAGEREF _Toc201902008 \h </w:instrText>
        </w:r>
        <w:r>
          <w:rPr>
            <w:noProof/>
            <w:webHidden/>
          </w:rPr>
        </w:r>
        <w:r>
          <w:rPr>
            <w:noProof/>
            <w:webHidden/>
          </w:rPr>
          <w:fldChar w:fldCharType="separate"/>
        </w:r>
        <w:r w:rsidR="008E3E95">
          <w:rPr>
            <w:noProof/>
            <w:webHidden/>
          </w:rPr>
          <w:t>97</w:t>
        </w:r>
        <w:r>
          <w:rPr>
            <w:noProof/>
            <w:webHidden/>
          </w:rPr>
          <w:fldChar w:fldCharType="end"/>
        </w:r>
      </w:hyperlink>
    </w:p>
    <w:p w14:paraId="72340DC5" w14:textId="762AC605" w:rsidR="00776CBF" w:rsidRDefault="00776CBF">
      <w:pPr>
        <w:pStyle w:val="31"/>
        <w:rPr>
          <w:rFonts w:asciiTheme="minorHAnsi" w:eastAsiaTheme="minorEastAsia" w:hAnsiTheme="minorHAnsi" w:cstheme="minorBidi"/>
          <w:kern w:val="2"/>
          <w14:ligatures w14:val="standardContextual"/>
        </w:rPr>
      </w:pPr>
      <w:hyperlink w:anchor="_Toc201902009" w:history="1">
        <w:r w:rsidRPr="00B30F81">
          <w:rPr>
            <w:rStyle w:val="a3"/>
          </w:rPr>
          <w:t>Пенсионные убытки казахстанцев продолжают расти в реальном выражении. Об этом говорит обзор инвестдеятельности Национального банка, управляющего свыше 99% сбережений граждан в Едином накопительном пенсионном фонде (ЕНПФ). По данным фонда, реальная доходность за январь-май текущего года составила "минус" 6,69%, а за последние 12 месяцев 1,78%.  Это наихудшие результаты среди управляющих пенсионными активами (УИП), с которыми ознакомился inbusiness.kz за последний месяц.</w:t>
        </w:r>
        <w:r>
          <w:rPr>
            <w:webHidden/>
          </w:rPr>
          <w:tab/>
        </w:r>
        <w:r>
          <w:rPr>
            <w:webHidden/>
          </w:rPr>
          <w:fldChar w:fldCharType="begin"/>
        </w:r>
        <w:r>
          <w:rPr>
            <w:webHidden/>
          </w:rPr>
          <w:instrText xml:space="preserve"> PAGEREF _Toc201902009 \h </w:instrText>
        </w:r>
        <w:r>
          <w:rPr>
            <w:webHidden/>
          </w:rPr>
        </w:r>
        <w:r>
          <w:rPr>
            <w:webHidden/>
          </w:rPr>
          <w:fldChar w:fldCharType="separate"/>
        </w:r>
        <w:r w:rsidR="008E3E95">
          <w:rPr>
            <w:webHidden/>
          </w:rPr>
          <w:t>97</w:t>
        </w:r>
        <w:r>
          <w:rPr>
            <w:webHidden/>
          </w:rPr>
          <w:fldChar w:fldCharType="end"/>
        </w:r>
      </w:hyperlink>
    </w:p>
    <w:p w14:paraId="520132A1" w14:textId="0C58E9B5"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2010" w:history="1">
        <w:r w:rsidRPr="00B30F81">
          <w:rPr>
            <w:rStyle w:val="a3"/>
            <w:noProof/>
          </w:rPr>
          <w:t>Даракчи, 26.06.2025, Повысится ли пенсионный возраст в Узбекистане?</w:t>
        </w:r>
        <w:r>
          <w:rPr>
            <w:noProof/>
            <w:webHidden/>
          </w:rPr>
          <w:tab/>
        </w:r>
        <w:r>
          <w:rPr>
            <w:noProof/>
            <w:webHidden/>
          </w:rPr>
          <w:fldChar w:fldCharType="begin"/>
        </w:r>
        <w:r>
          <w:rPr>
            <w:noProof/>
            <w:webHidden/>
          </w:rPr>
          <w:instrText xml:space="preserve"> PAGEREF _Toc201902010 \h </w:instrText>
        </w:r>
        <w:r>
          <w:rPr>
            <w:noProof/>
            <w:webHidden/>
          </w:rPr>
        </w:r>
        <w:r>
          <w:rPr>
            <w:noProof/>
            <w:webHidden/>
          </w:rPr>
          <w:fldChar w:fldCharType="separate"/>
        </w:r>
        <w:r w:rsidR="008E3E95">
          <w:rPr>
            <w:noProof/>
            <w:webHidden/>
          </w:rPr>
          <w:t>101</w:t>
        </w:r>
        <w:r>
          <w:rPr>
            <w:noProof/>
            <w:webHidden/>
          </w:rPr>
          <w:fldChar w:fldCharType="end"/>
        </w:r>
      </w:hyperlink>
    </w:p>
    <w:p w14:paraId="13003244" w14:textId="11BE3E10" w:rsidR="00776CBF" w:rsidRDefault="00776CBF">
      <w:pPr>
        <w:pStyle w:val="31"/>
        <w:rPr>
          <w:rFonts w:asciiTheme="minorHAnsi" w:eastAsiaTheme="minorEastAsia" w:hAnsiTheme="minorHAnsi" w:cstheme="minorBidi"/>
          <w:kern w:val="2"/>
          <w14:ligatures w14:val="standardContextual"/>
        </w:rPr>
      </w:pPr>
      <w:hyperlink w:anchor="_Toc201902011" w:history="1">
        <w:r w:rsidRPr="00B30F81">
          <w:rPr>
            <w:rStyle w:val="a3"/>
          </w:rPr>
          <w:t>Пенсионный фонд Узбекистана официально высказался по поводу рекомендаций МВФ провести реформу действующей пенсионной системы. В частности, Фонд предложил постепенно повышать пенсионный возраст.</w:t>
        </w:r>
        <w:r>
          <w:rPr>
            <w:webHidden/>
          </w:rPr>
          <w:tab/>
        </w:r>
        <w:r>
          <w:rPr>
            <w:webHidden/>
          </w:rPr>
          <w:fldChar w:fldCharType="begin"/>
        </w:r>
        <w:r>
          <w:rPr>
            <w:webHidden/>
          </w:rPr>
          <w:instrText xml:space="preserve"> PAGEREF _Toc201902011 \h </w:instrText>
        </w:r>
        <w:r>
          <w:rPr>
            <w:webHidden/>
          </w:rPr>
        </w:r>
        <w:r>
          <w:rPr>
            <w:webHidden/>
          </w:rPr>
          <w:fldChar w:fldCharType="separate"/>
        </w:r>
        <w:r w:rsidR="008E3E95">
          <w:rPr>
            <w:webHidden/>
          </w:rPr>
          <w:t>101</w:t>
        </w:r>
        <w:r>
          <w:rPr>
            <w:webHidden/>
          </w:rPr>
          <w:fldChar w:fldCharType="end"/>
        </w:r>
      </w:hyperlink>
    </w:p>
    <w:p w14:paraId="09952423" w14:textId="50B993B4"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2012" w:history="1">
        <w:r w:rsidRPr="00B30F81">
          <w:rPr>
            <w:rStyle w:val="a3"/>
            <w:noProof/>
          </w:rPr>
          <w:t>newshub.uz, 26.06.2025, В Узбекистане ответили на рекомендацию МВФ повысить пенсионный возраст</w:t>
        </w:r>
        <w:r>
          <w:rPr>
            <w:noProof/>
            <w:webHidden/>
          </w:rPr>
          <w:tab/>
        </w:r>
        <w:r>
          <w:rPr>
            <w:noProof/>
            <w:webHidden/>
          </w:rPr>
          <w:fldChar w:fldCharType="begin"/>
        </w:r>
        <w:r>
          <w:rPr>
            <w:noProof/>
            <w:webHidden/>
          </w:rPr>
          <w:instrText xml:space="preserve"> PAGEREF _Toc201902012 \h </w:instrText>
        </w:r>
        <w:r>
          <w:rPr>
            <w:noProof/>
            <w:webHidden/>
          </w:rPr>
        </w:r>
        <w:r>
          <w:rPr>
            <w:noProof/>
            <w:webHidden/>
          </w:rPr>
          <w:fldChar w:fldCharType="separate"/>
        </w:r>
        <w:r w:rsidR="008E3E95">
          <w:rPr>
            <w:noProof/>
            <w:webHidden/>
          </w:rPr>
          <w:t>102</w:t>
        </w:r>
        <w:r>
          <w:rPr>
            <w:noProof/>
            <w:webHidden/>
          </w:rPr>
          <w:fldChar w:fldCharType="end"/>
        </w:r>
      </w:hyperlink>
    </w:p>
    <w:p w14:paraId="3998067E" w14:textId="70B36B45" w:rsidR="00776CBF" w:rsidRDefault="00776CBF">
      <w:pPr>
        <w:pStyle w:val="31"/>
        <w:rPr>
          <w:rFonts w:asciiTheme="minorHAnsi" w:eastAsiaTheme="minorEastAsia" w:hAnsiTheme="minorHAnsi" w:cstheme="minorBidi"/>
          <w:kern w:val="2"/>
          <w14:ligatures w14:val="standardContextual"/>
        </w:rPr>
      </w:pPr>
      <w:hyperlink w:anchor="_Toc201902013" w:history="1">
        <w:r w:rsidRPr="00B30F81">
          <w:rPr>
            <w:rStyle w:val="a3"/>
          </w:rPr>
          <w:t>Пенсионный фонд Узбекистана заявил, что рассматривает предложения Международного валютного фонда (МВФ) о повышении пенсионного возраста, однако пока никаких решений по этому вопросу не принято.</w:t>
        </w:r>
        <w:r>
          <w:rPr>
            <w:webHidden/>
          </w:rPr>
          <w:tab/>
        </w:r>
        <w:r>
          <w:rPr>
            <w:webHidden/>
          </w:rPr>
          <w:fldChar w:fldCharType="begin"/>
        </w:r>
        <w:r>
          <w:rPr>
            <w:webHidden/>
          </w:rPr>
          <w:instrText xml:space="preserve"> PAGEREF _Toc201902013 \h </w:instrText>
        </w:r>
        <w:r>
          <w:rPr>
            <w:webHidden/>
          </w:rPr>
        </w:r>
        <w:r>
          <w:rPr>
            <w:webHidden/>
          </w:rPr>
          <w:fldChar w:fldCharType="separate"/>
        </w:r>
        <w:r w:rsidR="008E3E95">
          <w:rPr>
            <w:webHidden/>
          </w:rPr>
          <w:t>102</w:t>
        </w:r>
        <w:r>
          <w:rPr>
            <w:webHidden/>
          </w:rPr>
          <w:fldChar w:fldCharType="end"/>
        </w:r>
      </w:hyperlink>
    </w:p>
    <w:p w14:paraId="183DD6F5" w14:textId="2E012D5B" w:rsidR="00776CBF" w:rsidRDefault="00776CB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902014" w:history="1">
        <w:r w:rsidRPr="00B30F8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_Toc201902014 \h </w:instrText>
        </w:r>
        <w:r>
          <w:rPr>
            <w:noProof/>
            <w:webHidden/>
          </w:rPr>
        </w:r>
        <w:r>
          <w:rPr>
            <w:noProof/>
            <w:webHidden/>
          </w:rPr>
          <w:fldChar w:fldCharType="separate"/>
        </w:r>
        <w:r w:rsidR="008E3E95">
          <w:rPr>
            <w:noProof/>
            <w:webHidden/>
          </w:rPr>
          <w:t>102</w:t>
        </w:r>
        <w:r>
          <w:rPr>
            <w:noProof/>
            <w:webHidden/>
          </w:rPr>
          <w:fldChar w:fldCharType="end"/>
        </w:r>
      </w:hyperlink>
    </w:p>
    <w:p w14:paraId="176C3DE9" w14:textId="6DA74069"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2015" w:history="1">
        <w:r w:rsidRPr="00B30F81">
          <w:rPr>
            <w:rStyle w:val="a3"/>
            <w:noProof/>
          </w:rPr>
          <w:t>РИА Новости, 26.06.2025, Консультации премьера Франции подтвердили спорное повышение пенсионного возраста</w:t>
        </w:r>
        <w:r>
          <w:rPr>
            <w:noProof/>
            <w:webHidden/>
          </w:rPr>
          <w:tab/>
        </w:r>
        <w:r>
          <w:rPr>
            <w:noProof/>
            <w:webHidden/>
          </w:rPr>
          <w:fldChar w:fldCharType="begin"/>
        </w:r>
        <w:r>
          <w:rPr>
            <w:noProof/>
            <w:webHidden/>
          </w:rPr>
          <w:instrText xml:space="preserve"> PAGEREF _Toc201902015 \h </w:instrText>
        </w:r>
        <w:r>
          <w:rPr>
            <w:noProof/>
            <w:webHidden/>
          </w:rPr>
        </w:r>
        <w:r>
          <w:rPr>
            <w:noProof/>
            <w:webHidden/>
          </w:rPr>
          <w:fldChar w:fldCharType="separate"/>
        </w:r>
        <w:r w:rsidR="008E3E95">
          <w:rPr>
            <w:noProof/>
            <w:webHidden/>
          </w:rPr>
          <w:t>102</w:t>
        </w:r>
        <w:r>
          <w:rPr>
            <w:noProof/>
            <w:webHidden/>
          </w:rPr>
          <w:fldChar w:fldCharType="end"/>
        </w:r>
      </w:hyperlink>
    </w:p>
    <w:p w14:paraId="2E8FE35F" w14:textId="0B03B415" w:rsidR="00776CBF" w:rsidRDefault="00776CBF">
      <w:pPr>
        <w:pStyle w:val="31"/>
        <w:rPr>
          <w:rFonts w:asciiTheme="minorHAnsi" w:eastAsiaTheme="minorEastAsia" w:hAnsiTheme="minorHAnsi" w:cstheme="minorBidi"/>
          <w:kern w:val="2"/>
          <w14:ligatures w14:val="standardContextual"/>
        </w:rPr>
      </w:pPr>
      <w:hyperlink w:anchor="_Toc201902016" w:history="1">
        <w:r w:rsidRPr="00B30F81">
          <w:rPr>
            <w:rStyle w:val="a3"/>
          </w:rPr>
          <w:t>Представители работников и работодателей, участвовавшие в организованных премьер-министром Франсуа Байру консультациях о корректировке пенсионной реформы, согласились с сохранением повышения пенсионного возраста в соответствии с реформой 2023 года, заявил глава правительства.</w:t>
        </w:r>
        <w:r>
          <w:rPr>
            <w:webHidden/>
          </w:rPr>
          <w:tab/>
        </w:r>
        <w:r>
          <w:rPr>
            <w:webHidden/>
          </w:rPr>
          <w:fldChar w:fldCharType="begin"/>
        </w:r>
        <w:r>
          <w:rPr>
            <w:webHidden/>
          </w:rPr>
          <w:instrText xml:space="preserve"> PAGEREF _Toc201902016 \h </w:instrText>
        </w:r>
        <w:r>
          <w:rPr>
            <w:webHidden/>
          </w:rPr>
        </w:r>
        <w:r>
          <w:rPr>
            <w:webHidden/>
          </w:rPr>
          <w:fldChar w:fldCharType="separate"/>
        </w:r>
        <w:r w:rsidR="008E3E95">
          <w:rPr>
            <w:webHidden/>
          </w:rPr>
          <w:t>102</w:t>
        </w:r>
        <w:r>
          <w:rPr>
            <w:webHidden/>
          </w:rPr>
          <w:fldChar w:fldCharType="end"/>
        </w:r>
      </w:hyperlink>
    </w:p>
    <w:p w14:paraId="6112712D" w14:textId="78CF1B3A"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2017" w:history="1">
        <w:r w:rsidRPr="00B30F81">
          <w:rPr>
            <w:rStyle w:val="a3"/>
            <w:noProof/>
          </w:rPr>
          <w:t>ТАСС, 26.06.2025, Во Франции профсоюзы больше не требуют снижения пенсионного возраста - премьер</w:t>
        </w:r>
        <w:r>
          <w:rPr>
            <w:noProof/>
            <w:webHidden/>
          </w:rPr>
          <w:tab/>
        </w:r>
        <w:r>
          <w:rPr>
            <w:noProof/>
            <w:webHidden/>
          </w:rPr>
          <w:fldChar w:fldCharType="begin"/>
        </w:r>
        <w:r>
          <w:rPr>
            <w:noProof/>
            <w:webHidden/>
          </w:rPr>
          <w:instrText xml:space="preserve"> PAGEREF _Toc201902017 \h </w:instrText>
        </w:r>
        <w:r>
          <w:rPr>
            <w:noProof/>
            <w:webHidden/>
          </w:rPr>
        </w:r>
        <w:r>
          <w:rPr>
            <w:noProof/>
            <w:webHidden/>
          </w:rPr>
          <w:fldChar w:fldCharType="separate"/>
        </w:r>
        <w:r w:rsidR="008E3E95">
          <w:rPr>
            <w:noProof/>
            <w:webHidden/>
          </w:rPr>
          <w:t>103</w:t>
        </w:r>
        <w:r>
          <w:rPr>
            <w:noProof/>
            <w:webHidden/>
          </w:rPr>
          <w:fldChar w:fldCharType="end"/>
        </w:r>
      </w:hyperlink>
    </w:p>
    <w:p w14:paraId="1B8CB7FF" w14:textId="0EBBC6C6" w:rsidR="00776CBF" w:rsidRDefault="00776CBF">
      <w:pPr>
        <w:pStyle w:val="31"/>
        <w:rPr>
          <w:rFonts w:asciiTheme="minorHAnsi" w:eastAsiaTheme="minorEastAsia" w:hAnsiTheme="minorHAnsi" w:cstheme="minorBidi"/>
          <w:kern w:val="2"/>
          <w14:ligatures w14:val="standardContextual"/>
        </w:rPr>
      </w:pPr>
      <w:hyperlink w:anchor="_Toc201902018" w:history="1">
        <w:r w:rsidRPr="00B30F81">
          <w:rPr>
            <w:rStyle w:val="a3"/>
          </w:rPr>
          <w:t>Крупнейшие профсоюзы Франции на переговорах с  премьер-министром страны Франсуа Байру и представителями работодателей  отказались от требований вернуть возраст выхода на пенсию к 62 годам, как это  было до пенсионной реформы 2023 года. Об этом сообщил глава правительства на  пресс-конференции по итогам переговоров.</w:t>
        </w:r>
        <w:r>
          <w:rPr>
            <w:webHidden/>
          </w:rPr>
          <w:tab/>
        </w:r>
        <w:r>
          <w:rPr>
            <w:webHidden/>
          </w:rPr>
          <w:fldChar w:fldCharType="begin"/>
        </w:r>
        <w:r>
          <w:rPr>
            <w:webHidden/>
          </w:rPr>
          <w:instrText xml:space="preserve"> PAGEREF _Toc201902018 \h </w:instrText>
        </w:r>
        <w:r>
          <w:rPr>
            <w:webHidden/>
          </w:rPr>
        </w:r>
        <w:r>
          <w:rPr>
            <w:webHidden/>
          </w:rPr>
          <w:fldChar w:fldCharType="separate"/>
        </w:r>
        <w:r w:rsidR="008E3E95">
          <w:rPr>
            <w:webHidden/>
          </w:rPr>
          <w:t>103</w:t>
        </w:r>
        <w:r>
          <w:rPr>
            <w:webHidden/>
          </w:rPr>
          <w:fldChar w:fldCharType="end"/>
        </w:r>
      </w:hyperlink>
    </w:p>
    <w:p w14:paraId="007B73A7" w14:textId="2E2F17DD"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2019" w:history="1">
        <w:r w:rsidRPr="00B30F81">
          <w:rPr>
            <w:rStyle w:val="a3"/>
            <w:noProof/>
          </w:rPr>
          <w:t>Пенсия.pro, 26.06.2025, Актеры из фильмов Marvel выступили против вложения пенсионных денег в нефть</w:t>
        </w:r>
        <w:r>
          <w:rPr>
            <w:noProof/>
            <w:webHidden/>
          </w:rPr>
          <w:tab/>
        </w:r>
        <w:r>
          <w:rPr>
            <w:noProof/>
            <w:webHidden/>
          </w:rPr>
          <w:fldChar w:fldCharType="begin"/>
        </w:r>
        <w:r>
          <w:rPr>
            <w:noProof/>
            <w:webHidden/>
          </w:rPr>
          <w:instrText xml:space="preserve"> PAGEREF _Toc201902019 \h </w:instrText>
        </w:r>
        <w:r>
          <w:rPr>
            <w:noProof/>
            <w:webHidden/>
          </w:rPr>
        </w:r>
        <w:r>
          <w:rPr>
            <w:noProof/>
            <w:webHidden/>
          </w:rPr>
          <w:fldChar w:fldCharType="separate"/>
        </w:r>
        <w:r w:rsidR="008E3E95">
          <w:rPr>
            <w:noProof/>
            <w:webHidden/>
          </w:rPr>
          <w:t>104</w:t>
        </w:r>
        <w:r>
          <w:rPr>
            <w:noProof/>
            <w:webHidden/>
          </w:rPr>
          <w:fldChar w:fldCharType="end"/>
        </w:r>
      </w:hyperlink>
    </w:p>
    <w:p w14:paraId="1B10821F" w14:textId="7A4449ED" w:rsidR="00776CBF" w:rsidRDefault="00776CBF">
      <w:pPr>
        <w:pStyle w:val="31"/>
        <w:rPr>
          <w:rFonts w:asciiTheme="minorHAnsi" w:eastAsiaTheme="minorEastAsia" w:hAnsiTheme="minorHAnsi" w:cstheme="minorBidi"/>
          <w:kern w:val="2"/>
          <w14:ligatures w14:val="standardContextual"/>
        </w:rPr>
      </w:pPr>
      <w:hyperlink w:anchor="_Toc201902020" w:history="1">
        <w:r w:rsidRPr="00B30F81">
          <w:rPr>
            <w:rStyle w:val="a3"/>
          </w:rPr>
          <w:t>Голливудские актеры, в том числе Марк Руффало и Дон Чидл (Халк и Воитель из «Мстителей» Marvel), объединились и выступили с призывом запретить пенсионному фонду артистов телевидения инвестировать в полезные ископаемые.</w:t>
        </w:r>
        <w:r>
          <w:rPr>
            <w:webHidden/>
          </w:rPr>
          <w:tab/>
        </w:r>
        <w:r>
          <w:rPr>
            <w:webHidden/>
          </w:rPr>
          <w:fldChar w:fldCharType="begin"/>
        </w:r>
        <w:r>
          <w:rPr>
            <w:webHidden/>
          </w:rPr>
          <w:instrText xml:space="preserve"> PAGEREF _Toc201902020 \h </w:instrText>
        </w:r>
        <w:r>
          <w:rPr>
            <w:webHidden/>
          </w:rPr>
        </w:r>
        <w:r>
          <w:rPr>
            <w:webHidden/>
          </w:rPr>
          <w:fldChar w:fldCharType="separate"/>
        </w:r>
        <w:r w:rsidR="008E3E95">
          <w:rPr>
            <w:webHidden/>
          </w:rPr>
          <w:t>104</w:t>
        </w:r>
        <w:r>
          <w:rPr>
            <w:webHidden/>
          </w:rPr>
          <w:fldChar w:fldCharType="end"/>
        </w:r>
      </w:hyperlink>
    </w:p>
    <w:p w14:paraId="635C986E" w14:textId="113FB060" w:rsidR="00776CBF" w:rsidRDefault="00776CBF">
      <w:pPr>
        <w:pStyle w:val="21"/>
        <w:tabs>
          <w:tab w:val="right" w:leader="dot" w:pos="9061"/>
        </w:tabs>
        <w:rPr>
          <w:rFonts w:asciiTheme="minorHAnsi" w:eastAsiaTheme="minorEastAsia" w:hAnsiTheme="minorHAnsi" w:cstheme="minorBidi"/>
          <w:noProof/>
          <w:kern w:val="2"/>
          <w14:ligatures w14:val="standardContextual"/>
        </w:rPr>
      </w:pPr>
      <w:hyperlink w:anchor="_Toc201902021" w:history="1">
        <w:r w:rsidRPr="00B30F81">
          <w:rPr>
            <w:rStyle w:val="a3"/>
            <w:noProof/>
          </w:rPr>
          <w:t>MK-Turkey.ru, 26.06.2025, В Турции 86 иностранных инвесторов получили турецкое гражданство по частной пенсионной программе</w:t>
        </w:r>
        <w:r>
          <w:rPr>
            <w:noProof/>
            <w:webHidden/>
          </w:rPr>
          <w:tab/>
        </w:r>
        <w:r>
          <w:rPr>
            <w:noProof/>
            <w:webHidden/>
          </w:rPr>
          <w:fldChar w:fldCharType="begin"/>
        </w:r>
        <w:r>
          <w:rPr>
            <w:noProof/>
            <w:webHidden/>
          </w:rPr>
          <w:instrText xml:space="preserve"> PAGEREF _Toc201902021 \h </w:instrText>
        </w:r>
        <w:r>
          <w:rPr>
            <w:noProof/>
            <w:webHidden/>
          </w:rPr>
        </w:r>
        <w:r>
          <w:rPr>
            <w:noProof/>
            <w:webHidden/>
          </w:rPr>
          <w:fldChar w:fldCharType="separate"/>
        </w:r>
        <w:r w:rsidR="008E3E95">
          <w:rPr>
            <w:noProof/>
            <w:webHidden/>
          </w:rPr>
          <w:t>104</w:t>
        </w:r>
        <w:r>
          <w:rPr>
            <w:noProof/>
            <w:webHidden/>
          </w:rPr>
          <w:fldChar w:fldCharType="end"/>
        </w:r>
      </w:hyperlink>
    </w:p>
    <w:p w14:paraId="7250B001" w14:textId="577A2FA3" w:rsidR="00776CBF" w:rsidRDefault="00776CBF">
      <w:pPr>
        <w:pStyle w:val="31"/>
        <w:rPr>
          <w:rFonts w:asciiTheme="minorHAnsi" w:eastAsiaTheme="minorEastAsia" w:hAnsiTheme="minorHAnsi" w:cstheme="minorBidi"/>
          <w:kern w:val="2"/>
          <w14:ligatures w14:val="standardContextual"/>
        </w:rPr>
      </w:pPr>
      <w:hyperlink w:anchor="_Toc201902022" w:history="1">
        <w:r w:rsidRPr="00B30F81">
          <w:rPr>
            <w:rStyle w:val="a3"/>
          </w:rPr>
          <w:t>По официальным данным, в общей сложности 86 иностранных граждан получили турецкое гражданство через индивидуальную пенсионную систему, сделав соответствующие инвестиции на сумму более 1,4 млрд лир (35,23 млн долларов США).</w:t>
        </w:r>
        <w:r>
          <w:rPr>
            <w:webHidden/>
          </w:rPr>
          <w:tab/>
        </w:r>
        <w:r>
          <w:rPr>
            <w:webHidden/>
          </w:rPr>
          <w:fldChar w:fldCharType="begin"/>
        </w:r>
        <w:r>
          <w:rPr>
            <w:webHidden/>
          </w:rPr>
          <w:instrText xml:space="preserve"> PAGEREF _Toc201902022 \h </w:instrText>
        </w:r>
        <w:r>
          <w:rPr>
            <w:webHidden/>
          </w:rPr>
        </w:r>
        <w:r>
          <w:rPr>
            <w:webHidden/>
          </w:rPr>
          <w:fldChar w:fldCharType="separate"/>
        </w:r>
        <w:r w:rsidR="008E3E95">
          <w:rPr>
            <w:webHidden/>
          </w:rPr>
          <w:t>104</w:t>
        </w:r>
        <w:r>
          <w:rPr>
            <w:webHidden/>
          </w:rPr>
          <w:fldChar w:fldCharType="end"/>
        </w:r>
      </w:hyperlink>
    </w:p>
    <w:p w14:paraId="75AEFA91" w14:textId="1C7CF813" w:rsidR="00A0290C" w:rsidRPr="0019113B" w:rsidRDefault="008F4FE7" w:rsidP="00310633">
      <w:pPr>
        <w:rPr>
          <w:b/>
          <w:caps/>
          <w:sz w:val="32"/>
        </w:rPr>
      </w:pPr>
      <w:r w:rsidRPr="0019113B">
        <w:rPr>
          <w:caps/>
          <w:sz w:val="28"/>
        </w:rPr>
        <w:fldChar w:fldCharType="end"/>
      </w:r>
    </w:p>
    <w:p w14:paraId="54CF78F2" w14:textId="77777777" w:rsidR="00D1642B" w:rsidRPr="0019113B" w:rsidRDefault="00D1642B" w:rsidP="00D1642B">
      <w:pPr>
        <w:pStyle w:val="251"/>
      </w:pPr>
      <w:bookmarkStart w:id="16" w:name="_Toc396864664"/>
      <w:bookmarkStart w:id="17" w:name="_Toc99318652"/>
      <w:bookmarkStart w:id="18" w:name="_Toc246216291"/>
      <w:bookmarkStart w:id="19" w:name="_Toc246297418"/>
      <w:bookmarkStart w:id="20" w:name="_Toc201901886"/>
      <w:bookmarkEnd w:id="8"/>
      <w:bookmarkEnd w:id="9"/>
      <w:bookmarkEnd w:id="10"/>
      <w:bookmarkEnd w:id="11"/>
      <w:bookmarkEnd w:id="12"/>
      <w:bookmarkEnd w:id="13"/>
      <w:bookmarkEnd w:id="14"/>
      <w:bookmarkEnd w:id="15"/>
      <w:r w:rsidRPr="0019113B">
        <w:lastRenderedPageBreak/>
        <w:t>НОВОСТИ ПЕНСИОННОЙ ОТРАСЛИ</w:t>
      </w:r>
      <w:bookmarkEnd w:id="16"/>
      <w:bookmarkEnd w:id="17"/>
      <w:bookmarkEnd w:id="20"/>
    </w:p>
    <w:p w14:paraId="365FC7E3" w14:textId="77777777" w:rsidR="00111D7C" w:rsidRPr="0019113B"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1901887"/>
      <w:bookmarkEnd w:id="18"/>
      <w:bookmarkEnd w:id="19"/>
      <w:r w:rsidRPr="0019113B">
        <w:t>Новости отрасли НПФ</w:t>
      </w:r>
      <w:bookmarkEnd w:id="21"/>
      <w:bookmarkEnd w:id="22"/>
      <w:bookmarkEnd w:id="23"/>
      <w:bookmarkEnd w:id="27"/>
    </w:p>
    <w:p w14:paraId="13841F7E" w14:textId="77777777" w:rsidR="007A5DD0" w:rsidRPr="0019113B" w:rsidRDefault="007A5DD0" w:rsidP="007A5DD0">
      <w:pPr>
        <w:pStyle w:val="2"/>
      </w:pPr>
      <w:bookmarkStart w:id="28" w:name="a1"/>
      <w:bookmarkStart w:id="29" w:name="_Toc201901888"/>
      <w:bookmarkEnd w:id="28"/>
      <w:r w:rsidRPr="0019113B">
        <w:t>Пенсия.pro, 26.06.2025, Стали известны самые доходные НПФ начала 2025 года</w:t>
      </w:r>
      <w:bookmarkEnd w:id="29"/>
    </w:p>
    <w:p w14:paraId="4EB8D7F3" w14:textId="77777777" w:rsidR="007A5DD0" w:rsidRPr="0019113B" w:rsidRDefault="007A5DD0" w:rsidP="0097376F">
      <w:pPr>
        <w:pStyle w:val="3"/>
      </w:pPr>
      <w:bookmarkStart w:id="30" w:name="_Toc201901889"/>
      <w:r w:rsidRPr="0019113B">
        <w:t>Самую высокую доходность негосударственной пенсии за январь — март показал пенсионный фонд «Профессиональный» — 30,26 %. По части пенсионных накоплений (ОПС, накопительная часть пенсии) лидером стал НПФ «Альянс», показавший прибыльность 28,12 %, сообщил Банк России.</w:t>
      </w:r>
      <w:bookmarkEnd w:id="30"/>
    </w:p>
    <w:p w14:paraId="24416171" w14:textId="77777777" w:rsidR="007A5DD0" w:rsidRPr="0019113B" w:rsidRDefault="007A5DD0" w:rsidP="007A5DD0">
      <w:r w:rsidRPr="0019113B">
        <w:t>В топ-5 НПФ по доходности пенсионных резервов, помимо НПФ «Профессиональный», вошли:</w:t>
      </w:r>
    </w:p>
    <w:p w14:paraId="7B43EF8F" w14:textId="77777777" w:rsidR="007A5DD0" w:rsidRPr="0019113B" w:rsidRDefault="007A5DD0" w:rsidP="007A5DD0">
      <w:r w:rsidRPr="0019113B">
        <w:t xml:space="preserve">    НПФ «Авиаполис» — 25,75 %;</w:t>
      </w:r>
    </w:p>
    <w:p w14:paraId="784A3409" w14:textId="77777777" w:rsidR="007A5DD0" w:rsidRPr="0019113B" w:rsidRDefault="007A5DD0" w:rsidP="007A5DD0">
      <w:r w:rsidRPr="0019113B">
        <w:t xml:space="preserve">    НПФ «Альянс» — 25,07 %;</w:t>
      </w:r>
    </w:p>
    <w:p w14:paraId="51BB3D79" w14:textId="77777777" w:rsidR="007A5DD0" w:rsidRPr="0019113B" w:rsidRDefault="007A5DD0" w:rsidP="007A5DD0">
      <w:r w:rsidRPr="0019113B">
        <w:t xml:space="preserve">    НПФ «Корабел» — 23,2 %;</w:t>
      </w:r>
    </w:p>
    <w:p w14:paraId="17321CB5" w14:textId="77777777" w:rsidR="007A5DD0" w:rsidRPr="0019113B" w:rsidRDefault="007A5DD0" w:rsidP="007A5DD0">
      <w:r w:rsidRPr="0019113B">
        <w:t xml:space="preserve">    НПФ «Альфа» — 22,71 %.</w:t>
      </w:r>
    </w:p>
    <w:p w14:paraId="788405BF" w14:textId="77777777" w:rsidR="007A5DD0" w:rsidRPr="0019113B" w:rsidRDefault="007A5DD0" w:rsidP="007A5DD0">
      <w:r w:rsidRPr="0019113B">
        <w:t>Лучшие фонды, инвестировавшие накопительную часть пенсии, кроме «Альянса»:</w:t>
      </w:r>
    </w:p>
    <w:p w14:paraId="7BDD60DA" w14:textId="77777777" w:rsidR="007A5DD0" w:rsidRPr="0019113B" w:rsidRDefault="007A5DD0" w:rsidP="007A5DD0">
      <w:r w:rsidRPr="0019113B">
        <w:t xml:space="preserve">    НПФ «Транснефть» — 27,99 %;</w:t>
      </w:r>
    </w:p>
    <w:p w14:paraId="76D97DC2" w14:textId="77777777" w:rsidR="007A5DD0" w:rsidRPr="0019113B" w:rsidRDefault="007A5DD0" w:rsidP="007A5DD0">
      <w:r w:rsidRPr="0019113B">
        <w:t xml:space="preserve">    НПФ «Ростех» — 23,28 %;</w:t>
      </w:r>
    </w:p>
    <w:p w14:paraId="10BA7158" w14:textId="77777777" w:rsidR="007A5DD0" w:rsidRPr="0019113B" w:rsidRDefault="007A5DD0" w:rsidP="007A5DD0">
      <w:r w:rsidRPr="0019113B">
        <w:t xml:space="preserve">    НПФ «Волга-Капитал» — 23,06 %;</w:t>
      </w:r>
    </w:p>
    <w:p w14:paraId="5B9AE5CE" w14:textId="77777777" w:rsidR="007A5DD0" w:rsidRPr="0019113B" w:rsidRDefault="007A5DD0" w:rsidP="007A5DD0">
      <w:r w:rsidRPr="0019113B">
        <w:t xml:space="preserve">    НПФ «Профессиональный» — 21,73 %.</w:t>
      </w:r>
    </w:p>
    <w:p w14:paraId="606EE973" w14:textId="77777777" w:rsidR="007A5DD0" w:rsidRPr="0019113B" w:rsidRDefault="007A5DD0" w:rsidP="007A5DD0">
      <w:r w:rsidRPr="0019113B">
        <w:t>По итогам января — марта официальная инфляция в России составила 10,3 %. Не смогли ее обыграть по части негосударственной пенсии только четыре фонда — НПФ «ВЭФ. Жизнь» (6,75 %), НПФ Совкомбанка (6,39 %), НПФ «Пенсионные решения» (5,15 %) и НПФ «ВЭФ. Русские фонды» (3,35 %).</w:t>
      </w:r>
    </w:p>
    <w:p w14:paraId="19FEC3E9" w14:textId="77777777" w:rsidR="007A5DD0" w:rsidRPr="0019113B" w:rsidRDefault="007A5DD0" w:rsidP="007A5DD0">
      <w:r w:rsidRPr="0019113B">
        <w:t>Что касается ОПС, то здесь доходность ниже инфляции показали три фонда — ГПФ «Достойное будущее» (9,04 %), НПФ «Телеком-Союз» (9,06 %) и НПФ «Будущее» (4,24 %). НПФ «Газфонд Пенсионные накопления» и вовсе увел накопительную пенсию вкладчиков в минус (-1,14 %).</w:t>
      </w:r>
    </w:p>
    <w:p w14:paraId="5DAE8108" w14:textId="77777777" w:rsidR="007A5DD0" w:rsidRPr="0019113B" w:rsidRDefault="007A5DD0" w:rsidP="007A5DD0">
      <w:r w:rsidRPr="0019113B">
        <w:t>Банк России намерен отменить лимиты на инвестирование пенсионных резервов в отдельные ценные бумаги. Главный финансовый регулятор также хочет разрешить негосударственным пенсионным фондам больше вкладываться в рискованные активы. Это следует из проекта указания ЦБ.</w:t>
      </w:r>
    </w:p>
    <w:p w14:paraId="0A990360" w14:textId="77777777" w:rsidR="007A5DD0" w:rsidRPr="0019113B" w:rsidRDefault="007A5DD0" w:rsidP="007A5DD0">
      <w:hyperlink r:id="rId8" w:history="1">
        <w:r w:rsidRPr="0019113B">
          <w:rPr>
            <w:rStyle w:val="a3"/>
          </w:rPr>
          <w:t>https://pensiya.pro/news/stali-izvestny-samye-dohodnye-npf-nachala-2025-goda/</w:t>
        </w:r>
      </w:hyperlink>
      <w:r w:rsidRPr="0019113B">
        <w:t xml:space="preserve"> </w:t>
      </w:r>
    </w:p>
    <w:p w14:paraId="2B2329D5" w14:textId="77777777" w:rsidR="00E30BEE" w:rsidRPr="0019113B" w:rsidRDefault="00E30BEE" w:rsidP="00E30BEE">
      <w:pPr>
        <w:pStyle w:val="2"/>
      </w:pPr>
      <w:bookmarkStart w:id="31" w:name="a2"/>
      <w:bookmarkStart w:id="32" w:name="_Toc201901890"/>
      <w:bookmarkEnd w:id="31"/>
      <w:r w:rsidRPr="0019113B">
        <w:lastRenderedPageBreak/>
        <w:t>Пенсия.pro, 26.06.2025, НПФ накопили более 24 млрд рублей инвестиционного дохода - Центробанк</w:t>
      </w:r>
      <w:bookmarkEnd w:id="32"/>
    </w:p>
    <w:p w14:paraId="7F088D71" w14:textId="77777777" w:rsidR="00E30BEE" w:rsidRPr="0019113B" w:rsidRDefault="00E30BEE" w:rsidP="0097376F">
      <w:pPr>
        <w:pStyle w:val="3"/>
      </w:pPr>
      <w:bookmarkStart w:id="33" w:name="_Toc201901891"/>
      <w:r w:rsidRPr="0019113B">
        <w:t>За январь - март негосударственные пенсионные фонды накопили 24,8 млрд доходов от инвестиционной и финансовой деятельности, сообщил Банк России.</w:t>
      </w:r>
      <w:bookmarkEnd w:id="33"/>
    </w:p>
    <w:p w14:paraId="062729AE" w14:textId="77777777" w:rsidR="00E30BEE" w:rsidRPr="0019113B" w:rsidRDefault="00E30BEE" w:rsidP="00E30BEE">
      <w:r w:rsidRPr="0019113B">
        <w:t>Процентные доходы составили почти 166 млрд рублей, однако по некоторым направлениям зафиксирован убыток, в результате чего итоговый инвестдоход оказался значительно меньше. Например, 19 млрд рублей потеряно из-за операций с иностранной валютой, уточнил ЦБ.</w:t>
      </w:r>
    </w:p>
    <w:p w14:paraId="2776B4FB" w14:textId="77777777" w:rsidR="00E30BEE" w:rsidRPr="0019113B" w:rsidRDefault="00E30BEE" w:rsidP="00E30BEE">
      <w:r w:rsidRPr="0019113B">
        <w:t>Итоговая прибыль всех российских НПФ после налогообложения по итогам первого квартала составила 68,3 млрд рублей, совокупный доход - 166,5 млрд.</w:t>
      </w:r>
    </w:p>
    <w:p w14:paraId="1009C094" w14:textId="77777777" w:rsidR="00E30BEE" w:rsidRPr="0019113B" w:rsidRDefault="00E30BEE" w:rsidP="00E30BEE">
      <w:r w:rsidRPr="0019113B">
        <w:t>К концу первого квартала активы действующих НПФ достигли 6 трлн рублей, обязательства - 4,9 трлн, из них почти 3 трлн - по накопительной пенсии в рамках обязательного пенсионного страхования, следует из статистики ЦБ. Общие пенсионные резервы = 2,3 трлн рублей, накопления россиян - 3,37 трлн.</w:t>
      </w:r>
    </w:p>
    <w:p w14:paraId="612D9480" w14:textId="77777777" w:rsidR="00E30BEE" w:rsidRPr="0019113B" w:rsidRDefault="00E30BEE" w:rsidP="00E30BEE">
      <w:r w:rsidRPr="0019113B">
        <w:t>Лидером отрасли по величине активов является фонд ВТБ - 1,14 трлн рублей. На втором месте - СберНПФ (1,03 трлн), на третьем - «Газфонд пенсионные накопления» - 801,5 млрд.</w:t>
      </w:r>
    </w:p>
    <w:p w14:paraId="2CA6EF2F" w14:textId="77777777" w:rsidR="00E30BEE" w:rsidRPr="0019113B" w:rsidRDefault="00E30BEE" w:rsidP="00E30BEE">
      <w:r w:rsidRPr="0019113B">
        <w:t>Самую высокую доходность негосударственной пенсии за январь - март показал пенсионный фонд «Профессиональный» - 30,26 %. По части пенсионных накоплений (ОПС, накопительная часть пенсии) лидером стал НПФ «Альянс», показавший прибыльность 28,12 %, сообщил Банк России.</w:t>
      </w:r>
    </w:p>
    <w:p w14:paraId="1B329B25" w14:textId="77777777" w:rsidR="00E30BEE" w:rsidRPr="0019113B" w:rsidRDefault="00E30BEE" w:rsidP="00E30BEE">
      <w:hyperlink r:id="rId9" w:history="1">
        <w:r w:rsidRPr="0019113B">
          <w:rPr>
            <w:rStyle w:val="a3"/>
          </w:rPr>
          <w:t>https://pensiya.pro/news/npf-nakopili-bolee-24-mlrd-rublej-investiczionnogo-dohoda-czentrobank/</w:t>
        </w:r>
      </w:hyperlink>
      <w:r w:rsidRPr="0019113B">
        <w:t xml:space="preserve"> </w:t>
      </w:r>
    </w:p>
    <w:p w14:paraId="7F768F56" w14:textId="77777777" w:rsidR="00257DFD" w:rsidRPr="0019113B" w:rsidRDefault="00007333" w:rsidP="00257DFD">
      <w:pPr>
        <w:pStyle w:val="2"/>
      </w:pPr>
      <w:bookmarkStart w:id="34" w:name="a3"/>
      <w:bookmarkStart w:id="35" w:name="_Toc201901892"/>
      <w:bookmarkEnd w:id="34"/>
      <w:r w:rsidRPr="0019113B">
        <w:t>AK&amp;M</w:t>
      </w:r>
      <w:r w:rsidR="00257DFD" w:rsidRPr="0019113B">
        <w:t>, 26.06.2025, Количество пользователей личного кабинета НПФ «БЛАГОСОСТОЯНИЕ» достигло 480 000 человек</w:t>
      </w:r>
      <w:bookmarkEnd w:id="35"/>
    </w:p>
    <w:p w14:paraId="0265DF97" w14:textId="77777777" w:rsidR="00257DFD" w:rsidRPr="0019113B" w:rsidRDefault="00257DFD" w:rsidP="0097376F">
      <w:pPr>
        <w:pStyle w:val="3"/>
      </w:pPr>
      <w:bookmarkStart w:id="36" w:name="_Toc201901893"/>
      <w:r w:rsidRPr="0019113B">
        <w:t>Количество пользователей сервиса «Личный кабинет» в НПФ «БЛАГОСОСТОЯНИЕ» достигло 480 тысяч физических лиц. Это клиенты фонда по корпоративным и индивидуальным пенсионным программам, граждане, передавшие фонду управление накопительной частью пенсии по ОПС и заключившие договоры долгосрочных сбережений, а также пенсионеры, уже получающие выплаты от фонда.</w:t>
      </w:r>
      <w:bookmarkEnd w:id="36"/>
    </w:p>
    <w:p w14:paraId="193F5563" w14:textId="77777777" w:rsidR="00257DFD" w:rsidRPr="0019113B" w:rsidRDefault="00257DFD" w:rsidP="00257DFD">
      <w:r w:rsidRPr="0019113B">
        <w:t>Личный кабинет клиента НПФ «БЛАГОСОСТОЯНИЕ» имеет широкий функционал. В сервисе доступна информация о сумме сбережений по заключенным с фондом договорам, детализация финансовых поступлений на счета, заказ документов, а также подача заявлений, в том числе на назначение и выплату негосударственной пенсии. Так, в 2025 году клиенты фонда получили услуги по 40 тысячам поданных онлайн заявлений и запросов.</w:t>
      </w:r>
    </w:p>
    <w:p w14:paraId="2DBB6CEB" w14:textId="77777777" w:rsidR="00257DFD" w:rsidRPr="0019113B" w:rsidRDefault="00257DFD" w:rsidP="00257DFD">
      <w:r w:rsidRPr="0019113B">
        <w:t xml:space="preserve">«С начала прошлого года количество пользователей онлайн-сервиса «Личный кабинет» увеличилось примерно наполовину, - отмечает Максим Элик, первый заместитель генерального директора НПФ «БЛАГОСОСТОЯНИЕ». - Рост обусловлен в том числе </w:t>
      </w:r>
      <w:r w:rsidRPr="0019113B">
        <w:lastRenderedPageBreak/>
        <w:t>активизацией работы фонда по новому продукту - программе долгосрочных сбережений, а также расширению клиентской базы по обязательному пенсионному страхованию. Востребованность онлайн-услуг растет, и мы работаем над тем, чтобы в скором времени предложить клиентам новые удобные мобильные способы обслуживания в нашем фонде».</w:t>
      </w:r>
    </w:p>
    <w:p w14:paraId="0A4E3576" w14:textId="77777777" w:rsidR="00257DFD" w:rsidRPr="0019113B" w:rsidRDefault="00257DFD" w:rsidP="00257DFD">
      <w:r w:rsidRPr="0019113B">
        <w:t>НПФ «БЛАГОСОСТОЯНИЕ» - один из лидеров российского рынка негосударственного пенсионного обеспечения. Фонд реализует корпоративные пенсионные программы, управляет пенсионными накоплениями граждан по обязательному пенсионному страхованию, является оператором программы долгосрочных сбережений. Средства клиентов НПФ «БЛАГОСОСТОЯНИЕ» застрахованы государственной корпорацией «Агентство по страхованию вкладов».</w:t>
      </w:r>
    </w:p>
    <w:p w14:paraId="7565AB48" w14:textId="77777777" w:rsidR="00257DFD" w:rsidRPr="0019113B" w:rsidRDefault="00007333" w:rsidP="00257DFD">
      <w:hyperlink r:id="rId10" w:history="1">
        <w:r w:rsidRPr="0019113B">
          <w:rPr>
            <w:rStyle w:val="a3"/>
          </w:rPr>
          <w:t>https://www.akm.ru/press/kolichestvo_polzovateley_lichnogo_kabineta_npf_blagosostoyanie_dostiglo_480_000_chelovek/</w:t>
        </w:r>
      </w:hyperlink>
      <w:r w:rsidRPr="0019113B">
        <w:t xml:space="preserve"> </w:t>
      </w:r>
    </w:p>
    <w:p w14:paraId="5868EAEE" w14:textId="77777777" w:rsidR="00C26940" w:rsidRPr="0019113B" w:rsidRDefault="00C26940" w:rsidP="00C26940">
      <w:pPr>
        <w:pStyle w:val="2"/>
      </w:pPr>
      <w:bookmarkStart w:id="37" w:name="_Toc201901894"/>
      <w:r w:rsidRPr="0019113B">
        <w:t>Ваш Пенсионный Брокер, 26.06.2025, НПФ «Социум» стал партнером благотворительного «МедЗабега»</w:t>
      </w:r>
      <w:bookmarkEnd w:id="37"/>
    </w:p>
    <w:p w14:paraId="4C099D61" w14:textId="77777777" w:rsidR="00C26940" w:rsidRPr="0019113B" w:rsidRDefault="00C26940" w:rsidP="0097376F">
      <w:pPr>
        <w:pStyle w:val="3"/>
      </w:pPr>
      <w:bookmarkStart w:id="38" w:name="_Toc201901895"/>
      <w:r w:rsidRPr="0019113B">
        <w:t>Команда НПФ «Социум» уже второй год подряд принимает участие в VII ежегодном благотворительном «МедЗабеге», посвящённом памяти Доктора Лизы — выдающегося врача и гуманиста Елизаветы Петровны Глинки. В этом году фонд также выступил партнером спортивного события.</w:t>
      </w:r>
      <w:bookmarkEnd w:id="38"/>
    </w:p>
    <w:p w14:paraId="27E761D0" w14:textId="77777777" w:rsidR="00C26940" w:rsidRPr="0019113B" w:rsidRDefault="00C26940" w:rsidP="00C26940">
      <w:r w:rsidRPr="0019113B">
        <w:t>Более 1000 участников собрались в Мещерском парке, чтобы участвовать в забеге. От нашего фонда приняли участие 7 сотрудников и дети наших коллег, а генеральный директор фонда Оксана Сергеевна лично поддержала командный дух на старте.</w:t>
      </w:r>
    </w:p>
    <w:p w14:paraId="72A03EA7" w14:textId="77777777" w:rsidR="00C26940" w:rsidRPr="0019113B" w:rsidRDefault="00C26940" w:rsidP="00C26940">
      <w:r w:rsidRPr="0019113B">
        <w:t>Для детей прошел забег на дистанции 500 м — медали, грамоты и подарки получили все финишеры. Дистанция «МедЗабега» для взрослых легкоатлетов составила пять километров. Соревнование состояло из трех дисциплин: женских одиночек, мужских одиночек и эстафеты (5 этапов по 1 км).</w:t>
      </w:r>
    </w:p>
    <w:p w14:paraId="0890818F" w14:textId="77777777" w:rsidR="00C26940" w:rsidRPr="0019113B" w:rsidRDefault="00C26940" w:rsidP="00C26940">
      <w:r w:rsidRPr="0019113B">
        <w:t>Сотрудники НПФ «Социум», принявшие участие в забеге, подчеркнули, что мероприятие способствовало укреплению командного духа, улучшению взаимодействия внутри коллектива и повышению мотивации. В целом, подобные события создают благоприятную рабочую атмосферу, способствуя развитию позитивного настроения и эмоционального благополучия</w:t>
      </w:r>
    </w:p>
    <w:p w14:paraId="2AC70C37" w14:textId="77777777" w:rsidR="00C26940" w:rsidRPr="0019113B" w:rsidRDefault="00C26940" w:rsidP="00C26940">
      <w:r w:rsidRPr="0019113B">
        <w:t>Забег прошел под девизом «Бег в помощь!». Большая часть средств, вырученных от регистрации на забег, передана благотворительному фонду «Онкологика», который оказывает всестороннюю системную поддержку взрослым онкопациентам и их близким по всей России.</w:t>
      </w:r>
    </w:p>
    <w:p w14:paraId="312C557A" w14:textId="77777777" w:rsidR="00111D7C" w:rsidRPr="0019113B" w:rsidRDefault="00C26940" w:rsidP="00C26940">
      <w:hyperlink r:id="rId11" w:history="1">
        <w:r w:rsidRPr="0019113B">
          <w:rPr>
            <w:rStyle w:val="a3"/>
          </w:rPr>
          <w:t>http://pbroker.ru/?p=80379</w:t>
        </w:r>
      </w:hyperlink>
    </w:p>
    <w:p w14:paraId="0CD7E557" w14:textId="77777777" w:rsidR="00C26940" w:rsidRPr="0019113B" w:rsidRDefault="00C26940" w:rsidP="00C26940"/>
    <w:p w14:paraId="5186010A" w14:textId="77777777" w:rsidR="00111D7C" w:rsidRDefault="00111D7C" w:rsidP="00111D7C">
      <w:pPr>
        <w:pStyle w:val="10"/>
      </w:pPr>
      <w:bookmarkStart w:id="39" w:name="_Toc165991073"/>
      <w:bookmarkStart w:id="40" w:name="_Toc99271691"/>
      <w:bookmarkStart w:id="41" w:name="_Toc99318654"/>
      <w:bookmarkStart w:id="42" w:name="_Toc99318783"/>
      <w:bookmarkStart w:id="43" w:name="_Toc396864672"/>
      <w:bookmarkStart w:id="44" w:name="_Toc201901896"/>
      <w:r w:rsidRPr="0019113B">
        <w:lastRenderedPageBreak/>
        <w:t>Программа долгосрочных сбережений</w:t>
      </w:r>
      <w:bookmarkEnd w:id="39"/>
      <w:bookmarkEnd w:id="44"/>
    </w:p>
    <w:p w14:paraId="1CE2AC95" w14:textId="77777777" w:rsidR="004F50D6" w:rsidRDefault="00421D94" w:rsidP="00935041">
      <w:pPr>
        <w:pStyle w:val="2"/>
      </w:pPr>
      <w:bookmarkStart w:id="45" w:name="_Toc201901897"/>
      <w:r>
        <w:t>Минфин России</w:t>
      </w:r>
      <w:r w:rsidR="00935041" w:rsidRPr="00935041">
        <w:t xml:space="preserve">, 26.06.2025, </w:t>
      </w:r>
      <w:r w:rsidR="004F50D6">
        <w:t>Подведены итоги регионального этапа Всероссийского семейного фестиваля сбережений и инвестиций</w:t>
      </w:r>
      <w:bookmarkEnd w:id="45"/>
    </w:p>
    <w:p w14:paraId="3F03A2B3" w14:textId="77777777" w:rsidR="004F50D6" w:rsidRDefault="004F50D6" w:rsidP="00935041">
      <w:pPr>
        <w:pStyle w:val="3"/>
      </w:pPr>
      <w:bookmarkStart w:id="46" w:name="_Toc201901898"/>
      <w:r>
        <w:t>В 29 субъектах Российской Федерации завершился региональный этап II Всероссийского семейного фестиваля сбережений и инвестиций. Мероприятие собрало около 630 семей-участников, которые ранее победили в муниципальном этапе. Всего в муниципальном этапе приняли участие 3 200 семей из нескольких сотен городов и поселений.</w:t>
      </w:r>
      <w:bookmarkEnd w:id="46"/>
    </w:p>
    <w:p w14:paraId="09858D50" w14:textId="77777777" w:rsidR="004F50D6" w:rsidRDefault="004F50D6" w:rsidP="004F50D6">
      <w:r>
        <w:t>29 семей-победителей регионального этапа встретятся 6 и 7 сентября в Москве в Финансовом университете при Правительстве РФ, чтобы побороться за главный приз.</w:t>
      </w:r>
    </w:p>
    <w:p w14:paraId="638AF932" w14:textId="77777777" w:rsidR="004F50D6" w:rsidRDefault="004F50D6" w:rsidP="004F50D6">
      <w:r>
        <w:t xml:space="preserve">«Наши просветительские мероприятия добрались до разных населённых пунктов, и мы рады видеть такой интерес к финансовым знаниям. Цель фестиваля — повышение уровня финансовой грамотности среди населения», — отметил в видеоприветствии к участникам директор Департамента финансовой политики Минфина России Алексей Яковлев.  </w:t>
      </w:r>
    </w:p>
    <w:p w14:paraId="6586E9C6" w14:textId="77777777" w:rsidR="004F50D6" w:rsidRDefault="004F50D6" w:rsidP="004F50D6">
      <w:r>
        <w:t>В рамках фестиваля состоялись лекции, мастер-классы, финансовые квизы и семейные финансовые квесты. В Орле, Владикавказе, Курске обязательные соревновательные мероприятия перемежались выступлениями творческих коллективов, а в Якутске почти все участники пришли на соревнования в национальных костюмах.</w:t>
      </w:r>
    </w:p>
    <w:p w14:paraId="03C33F61" w14:textId="77777777" w:rsidR="004F50D6" w:rsidRDefault="004F50D6" w:rsidP="004F50D6">
      <w:r>
        <w:t>«Участникам регионального этапа рассказала о том, как правильно формировать долгосрочные сбережения. Эта тема вызвала особый интерес. Много вопросов было о Программе долгосрочных сбережений, о том, как вступить, перевести пенсионные накопления и в каких случаях можно воспользоваться накопленными средствами досрочно», — отметила начальник Отдела регулирования негосударственных пенсионных фондов Департамента финансовой политики Минфина России Наталия Каменская.</w:t>
      </w:r>
    </w:p>
    <w:p w14:paraId="746315AC" w14:textId="77777777" w:rsidR="004F50D6" w:rsidRDefault="004F50D6" w:rsidP="004F50D6">
      <w:r>
        <w:t>Организатором фестиваля является Федеральный методический центр (ФМЦ), созданный для поддержки финансового просвещения всех возрастных групп россиян. Он функционирует на базе Финансового университета и разрабатывает программы и материалы для финансового просвещения взрослого населения.</w:t>
      </w:r>
    </w:p>
    <w:p w14:paraId="1843527C" w14:textId="77777777" w:rsidR="004F50D6" w:rsidRDefault="004F50D6" w:rsidP="004F50D6">
      <w:r>
        <w:t>Региональный этап проходил при поддержке Министерства финансов Российской Федерации, портала Моифинансы.рф, а также главных партнёров — СРО НАПФ, ВСС, АСВ. Поддерживали участников и региональные партнёры: местные банки, негосударственные пенсионные фонды, региональные предприятия, общественные объединения, центры «Мой бизнес» и другие.</w:t>
      </w:r>
    </w:p>
    <w:p w14:paraId="69C02135" w14:textId="77777777" w:rsidR="004F50D6" w:rsidRPr="004F50D6" w:rsidRDefault="00935041" w:rsidP="004F50D6">
      <w:hyperlink r:id="rId12" w:history="1">
        <w:r w:rsidRPr="00BD0F8C">
          <w:rPr>
            <w:rStyle w:val="a3"/>
          </w:rPr>
          <w:t>https://minfin.gov.ru/ru/press-center/?id_4=39785-podvedeny_itogi_regionalnogo_etapa_vserossiiskogo_semeinogo_festivalya_sberezhenii_i_investitsii</w:t>
        </w:r>
      </w:hyperlink>
      <w:r>
        <w:t xml:space="preserve"> </w:t>
      </w:r>
    </w:p>
    <w:p w14:paraId="0AC6D702" w14:textId="77777777" w:rsidR="00903835" w:rsidRPr="0019113B" w:rsidRDefault="00903835" w:rsidP="00903835">
      <w:pPr>
        <w:pStyle w:val="2"/>
      </w:pPr>
      <w:bookmarkStart w:id="47" w:name="a4"/>
      <w:bookmarkStart w:id="48" w:name="_Toc201901899"/>
      <w:bookmarkEnd w:id="47"/>
      <w:r w:rsidRPr="0019113B">
        <w:lastRenderedPageBreak/>
        <w:t>АиФ, 26.06.2025, Копить на пенсию «автоматом»? Да. Но есть нюансы</w:t>
      </w:r>
      <w:bookmarkEnd w:id="48"/>
    </w:p>
    <w:p w14:paraId="093318A9" w14:textId="77777777" w:rsidR="00903835" w:rsidRPr="0019113B" w:rsidRDefault="00903835" w:rsidP="0097376F">
      <w:pPr>
        <w:pStyle w:val="3"/>
      </w:pPr>
      <w:bookmarkStart w:id="49" w:name="_Toc201901900"/>
      <w:r w:rsidRPr="0019113B">
        <w:t>У думцев и ряда финансистов родилась мысль (ее обсуждали, в том числе на недавнем ПМЭФ) автоматически перевести пенсионные накопления россиян в программу долгосрочных сбережений (ПДС). Минфин и ЦБ готовы идею рассмотреть. Это значит, могут одобрить.</w:t>
      </w:r>
      <w:bookmarkEnd w:id="49"/>
      <w:r w:rsidRPr="0019113B">
        <w:t xml:space="preserve"> </w:t>
      </w:r>
    </w:p>
    <w:p w14:paraId="0845AFF7" w14:textId="77777777" w:rsidR="00903835" w:rsidRPr="0019113B" w:rsidRDefault="00903835" w:rsidP="00903835">
      <w:r w:rsidRPr="0019113B">
        <w:t>Сама эта идея как-то «пристроить» «долгие деньги» граждан неустанно и давно греет душу и будоражит мысль правительственных чиновников. Да и граждане тем самым смогут как-то улучшить свое пенсионное обеспечение в будущем. Хуже не будет точно. Так это работает во многих странах мира, где государство отвечает лишь за часть получаемой пенсии, а на остальную часть человек копит сам. Классический пример - американские пенсионные счета, деньги которых постоянно «крутятся» на фондовом рынке, при том, что владелец счета постоянно в курсе, сколько у него там «накапало» или, если рынок падает, убыло. Помимо этого, российские власти, конечно, заинтересованы в том, чтобы «лишние деньги» (у тех, у кого они есть) не давили на потребительский рынок и не разгоняли инфляцию. Так что «длинные деньги» - это во многих смыслах стабильность.</w:t>
      </w:r>
    </w:p>
    <w:p w14:paraId="747C3C6B" w14:textId="77777777" w:rsidR="00903835" w:rsidRPr="0019113B" w:rsidRDefault="00903835" w:rsidP="00903835">
      <w:r w:rsidRPr="0019113B">
        <w:t>Что такое эта ПДС? Программа относительно новая, заработала с начала 2024 года. Открыть договор ПДС (сугубо добровольно) можно в любом из 35 негосударственном пенсионных фондов (НПФ), подключенных к программе. Она позволяет получать от государства софинансирование до 36 тыс. рублей в год, налоговые вычеты на сумму взносов до 400 тыс., а также перевести в программу свои пенсионные накопления, сформированные с 2002 до 2014 года. Можно заключить договор долгосрочных сбережений в пользу ребенка или вообще кого угодно. НПФ инвестирует вложенные деньги в различные финансовые инструменты (он ими управляет, не вы), чаще в облигации федерального займа и корпоративные облигации госкомпаний. Это выглядит достаточно надежно и консервативно. Полученный доход зачисляется на счет вкладчика. Если вам не нравится доходность, то можно сменить НПФ. Но не чаще, чем раз в пять лет. Выплаты начинаются или через 15 лет после вступления в программу или по достижении «предпенсионного» возраста - 55 лет для женщин и 60 лет для мужчин. Выплаты могут быть пожизненными (или от десяти лет, по договоренности) ежемесячно, либо единовременно, если сумма пенсии участника окажется меньше 10% от среднего по России прожиточного минимума пенсионера. Последнее кажется крайне маловероятным. Накопления по ПДС наследуются. Но не всегда. Если участник ПДС уже начал получать пожизненные выплаты, то деньги пропадут.</w:t>
      </w:r>
    </w:p>
    <w:p w14:paraId="5D26BCB8" w14:textId="77777777" w:rsidR="00903835" w:rsidRPr="0019113B" w:rsidRDefault="00903835" w:rsidP="00903835">
      <w:r w:rsidRPr="0019113B">
        <w:t>Государство действительно софинансирует ваше участие в ПДС, но тут работает регрессия «в пользу бедных» - чем выше ваш доход и отчисления, тем меньшее государство вам помогает. Так, при доходах до 80 000 рублей размер госдоплаты будет равен вашим суммарным взносам. Внесли вы 30 тыс. руб., тогда в следующем (не в текущем) году государство добавит на ваш счет еще столько же. Но при доходах от 80 до 150 тыс. руб. добавит только половину от внесенной вами суммы, а при доходах более 150 тыс. - только четверть. Налоговый вычет также зависит от ваших доходов, поскольку у нас теперь прогрессивная шкала НДФЛ.</w:t>
      </w:r>
    </w:p>
    <w:p w14:paraId="3222D5C2" w14:textId="77777777" w:rsidR="00903835" w:rsidRPr="0019113B" w:rsidRDefault="00903835" w:rsidP="00903835">
      <w:r w:rsidRPr="0019113B">
        <w:t xml:space="preserve">Стоит добавить, что все сбережения по ПДС застрахованы в сумме до 2,8 млн руб. Досрочно вывести деньги с ПДС теоретически можно (в трудной жизненной ситуации), </w:t>
      </w:r>
      <w:r w:rsidRPr="0019113B">
        <w:lastRenderedPageBreak/>
        <w:t>но сложно и с дисконтом. При этом государственное софинансирование вкладчик не только не получит, но ему еще придется компенсировать сумму налогового вычета и уплатить налог с суммы инвестиционного дохода. Это почти запретительные условия вывода.</w:t>
      </w:r>
    </w:p>
    <w:p w14:paraId="7D6F3110" w14:textId="77777777" w:rsidR="00903835" w:rsidRPr="0019113B" w:rsidRDefault="00903835" w:rsidP="00903835">
      <w:r w:rsidRPr="0019113B">
        <w:t>Собственно, и сейчас можно перевести свои пенсионные накопления в ПДС. Сугубо добровольно. Многие так и делают (но большинство вообще не заморачивается), тем более что они остаются замороженными (правда, в этом году можно забрать эти накопления разом, если сумма не превышает 412 тыс. руб.).</w:t>
      </w:r>
    </w:p>
    <w:p w14:paraId="2DBA3EDB" w14:textId="77777777" w:rsidR="00903835" w:rsidRPr="0019113B" w:rsidRDefault="00903835" w:rsidP="00903835">
      <w:r w:rsidRPr="0019113B">
        <w:t>Программа стартовала довольно бодро. К концу I квартала 2025 года было заключено 4,6 млн договоров ПДС. Общая сумма вложений превысила 330 млрд руб. (в среднем получается по 72 тыс.). В то же время, по сравнению с депозитами - примерно 60 трлн рублей - это капля в море, правда, «депозитные деньги» распределены крайне неравномерно, там бОльшая часть лежит на крупных депозитах. Зато это сопоставимо уже с числом и объемом брокерских счетов физлиц: таковых на конец мая было 68,5 млн (они приходились на почти 37 млн физлиц), на которых находилось ценных бумаг примерно на 156 млрд руб. Судя по темпам роста, объемы средств на ПДС к концу года уже в разы превысят объем индивидуально инвестированных на бирже денег. В этом смысле граждане в части инвестиций доверяют профессионалам из НПФ все же больше, чем себе. Операторы программы ПДС рассчитывают достичь показателя объема вложений в 750 млрд руб. уже до конца года.</w:t>
      </w:r>
    </w:p>
    <w:p w14:paraId="5D0A1DC4" w14:textId="77777777" w:rsidR="00903835" w:rsidRPr="0019113B" w:rsidRDefault="00903835" w:rsidP="00903835">
      <w:r w:rsidRPr="0019113B">
        <w:t>По идее, учитывая, что в свое время подавляющее число участников программы пенсионных накоплений были «молчунами» и не проявляли особой инициативы насчет того, куда лучше направить свои сбережения, и теперь в случае автоматического перевода пенсионных накоплений в ПДС особых протестов не будет. Многие вообще не заметят. Другой вопрос, где тот предел (есть ли он?), когда число граждан, добровольно заключающих договоры по ПДС, закончится? По многим причинам. Во-первых, у нас не очень принято думать и инвестировать «вдолгую». Во-вторых, при нынешнем уровне инфляции можете ли вы просчитать уже сейчас, насколько «разбухнут» или, наоборот, «усохнут» ваши инвестиции через 15 лет (минимальный срок для ПДС)? В-третьих, имея возможность сменить управляющего вашими деньгами (НПФ) лишь раз в пять лет, можете ли вы быть уверены, что именно выбранный вами НПФ окажется прибыльным, во всяком случае - «обыгрывающим инфляцию»? В-четвертых и в главных, есть ли уверенность, что государство через сколько-то лет снова не изменит правила игры, как произошло с накопительным пенсиями в 2014 году? Также есть вопросы по части наследования накопленных средств, правила выглядят не очень выгодными. По сути, если пенсионер умрет сразу после начала получения выплат, то все накопленные им средства «сгорят». Страховая сумма с горизонтом 15 лет также не выглядит убедительной. Инфляция ее может «съесть». Может, стоило бы индексировать ежегодно? Также можно было бы дать право смены управляющего вашими деньгами НПФ не раз в пять лет, а, скажем, ежегодно. Как управляющую компанию в ЖКХ. Помимо этого, российский фондовый рынок на сегодня выглядит далеко не самым доходным местом, число прибыльных на нем инструментов крайне ограничено, он пока что «проигрывает» инфляции вчистую (во всяком случае продуктовой инфляции точно), посему люди и уходят в банковские депозиты, имея свои двузначные гарантированные проценты. Почему бы не разрешить НПФ вкладывать деньги в зарубежные инструменты, скажем, дружественных стран?</w:t>
      </w:r>
    </w:p>
    <w:p w14:paraId="6824C99C" w14:textId="77777777" w:rsidR="00903835" w:rsidRPr="0019113B" w:rsidRDefault="00903835" w:rsidP="00903835">
      <w:r w:rsidRPr="0019113B">
        <w:lastRenderedPageBreak/>
        <w:t>В общем к ПДС пока довольно много вопросов. С другой стороны, она вполне годится как «консервативное» средство накоплений к старости, когда любые дополнительные деньги лишними не будут.</w:t>
      </w:r>
    </w:p>
    <w:p w14:paraId="6657449B" w14:textId="77777777" w:rsidR="00903835" w:rsidRPr="0019113B" w:rsidRDefault="00903835" w:rsidP="00903835">
      <w:hyperlink r:id="rId13" w:history="1">
        <w:r w:rsidRPr="0019113B">
          <w:rPr>
            <w:rStyle w:val="a3"/>
          </w:rPr>
          <w:t>https://aif.ru/money/mymoney/kopit-na-pensiyu-avtomatom-da-no-est-nyuansy</w:t>
        </w:r>
      </w:hyperlink>
      <w:r w:rsidRPr="0019113B">
        <w:t xml:space="preserve"> </w:t>
      </w:r>
    </w:p>
    <w:p w14:paraId="3CEFCD78" w14:textId="77777777" w:rsidR="007A5DD0" w:rsidRPr="0019113B" w:rsidRDefault="007A5DD0" w:rsidP="007A5DD0">
      <w:pPr>
        <w:pStyle w:val="2"/>
      </w:pPr>
      <w:bookmarkStart w:id="50" w:name="a5"/>
      <w:bookmarkStart w:id="51" w:name="_Toc201901901"/>
      <w:bookmarkEnd w:id="50"/>
      <w:r w:rsidRPr="0019113B">
        <w:t>Пенсия.pro, 26.06.2025, Треть финансово грамотных россиян не планируют участвовать в программе долгосрочных сбережений — опрос</w:t>
      </w:r>
      <w:bookmarkEnd w:id="51"/>
    </w:p>
    <w:p w14:paraId="56AA424B" w14:textId="77777777" w:rsidR="007A5DD0" w:rsidRPr="0019113B" w:rsidRDefault="007A5DD0" w:rsidP="0097376F">
      <w:pPr>
        <w:pStyle w:val="3"/>
      </w:pPr>
      <w:bookmarkStart w:id="52" w:name="_Toc201901902"/>
      <w:r w:rsidRPr="0019113B">
        <w:t>33 % россиян, знакомых с разнообразными финансовыми инструментами, не вступили в программу долгосрочных сбережений и не хотят этого делать. Таковые результаты опроса, проведенного в телеграм-канале инвестора Киры Юхтенко с 60 тысячами подписчиков.</w:t>
      </w:r>
      <w:bookmarkEnd w:id="52"/>
    </w:p>
    <w:p w14:paraId="5CBE1EF2" w14:textId="77777777" w:rsidR="007A5DD0" w:rsidRPr="0019113B" w:rsidRDefault="007A5DD0" w:rsidP="007A5DD0">
      <w:r w:rsidRPr="0019113B">
        <w:t>15 % респондентов сейчас являются участниками ПДС, 30 % аудитории не знает, что это такое. Каждый пятый еще не определился, стоит ли связываться с программой.</w:t>
      </w:r>
    </w:p>
    <w:p w14:paraId="04B612BE" w14:textId="77777777" w:rsidR="007A5DD0" w:rsidRPr="0019113B" w:rsidRDefault="007A5DD0" w:rsidP="007A5DD0">
      <w:r w:rsidRPr="0019113B">
        <w:t>По словам Юхтенко, у ПДС есть две группы потенциальных участников. С одной стороны, это люди, которым только предстоит разобраться в базовых вещах: как работают долгосрочные инвестиции, что такое сложный процент, зачем вообще копить. С ними важно говорить простым языком и последовательно объяснять механику проекта.</w:t>
      </w:r>
    </w:p>
    <w:p w14:paraId="57F9BAEB" w14:textId="77777777" w:rsidR="007A5DD0" w:rsidRPr="0019113B" w:rsidRDefault="007A5DD0" w:rsidP="007A5DD0">
      <w:r w:rsidRPr="0019113B">
        <w:t>С другой — уже опытные инвесторы. У них другие вопросы: выгодно ли мне это? Не проще ли открыть ИИС и управлять всем самостоятельно? Какую комиссию возьмет НПФ? Им важно говорить про доходность, условия, гибкость, цитирует инвестора РБК.</w:t>
      </w:r>
    </w:p>
    <w:p w14:paraId="2284B68B" w14:textId="77777777" w:rsidR="007A5DD0" w:rsidRPr="0019113B" w:rsidRDefault="007A5DD0" w:rsidP="007A5DD0">
      <w:r w:rsidRPr="0019113B">
        <w:t>ПДС начала работать 1 января 2024 года.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«особых жизненных ситуаций». Накопленные средства можно передать по наследству.</w:t>
      </w:r>
    </w:p>
    <w:p w14:paraId="585BBEEC" w14:textId="77777777" w:rsidR="007A5DD0" w:rsidRPr="0019113B" w:rsidRDefault="007A5DD0" w:rsidP="007A5DD0">
      <w:r w:rsidRPr="0019113B">
        <w:t>В программу долгосрочных сбережений за январь — март поступило 142,4 млрд рублей взносов. Это следует из статистики, опубликованной Банком России. В общей сложности в ПДС аккумулировано почти 240 млрд рублей в виде резервов. За первые три месяца года россияне заключили 1,2 млн договоров ПДС и только 27 579 были прекращены.</w:t>
      </w:r>
    </w:p>
    <w:p w14:paraId="52B84810" w14:textId="77777777" w:rsidR="007A5DD0" w:rsidRPr="0019113B" w:rsidRDefault="007A5DD0" w:rsidP="007A5DD0">
      <w:hyperlink r:id="rId14" w:history="1">
        <w:r w:rsidRPr="0019113B">
          <w:rPr>
            <w:rStyle w:val="a3"/>
          </w:rPr>
          <w:t>https://pensiya.pro/news/tret-finansovo-gramotnyh-rossiyan-ne-planiruyut-uchastvovat-v-programme-dolgosrochnyh-sberezhenij-opros/</w:t>
        </w:r>
      </w:hyperlink>
      <w:r w:rsidRPr="0019113B">
        <w:t xml:space="preserve"> </w:t>
      </w:r>
    </w:p>
    <w:p w14:paraId="02B16FF9" w14:textId="77777777" w:rsidR="006A79EB" w:rsidRPr="0019113B" w:rsidRDefault="006A79EB" w:rsidP="006A79EB">
      <w:pPr>
        <w:pStyle w:val="2"/>
      </w:pPr>
      <w:bookmarkStart w:id="53" w:name="_Toc201901903"/>
      <w:r w:rsidRPr="0019113B">
        <w:lastRenderedPageBreak/>
        <w:t>Bankreal, 26.06.2025, Уже можно запрашивать в налоговой справки о количестве договоров долгосрочных сбережений</w:t>
      </w:r>
      <w:bookmarkEnd w:id="53"/>
    </w:p>
    <w:p w14:paraId="6C2154FB" w14:textId="77777777" w:rsidR="006A79EB" w:rsidRPr="0019113B" w:rsidRDefault="006A79EB" w:rsidP="0097376F">
      <w:pPr>
        <w:pStyle w:val="3"/>
      </w:pPr>
      <w:bookmarkStart w:id="54" w:name="_Toc201901904"/>
      <w:r w:rsidRPr="0019113B">
        <w:t>ФНС разослала рекомендуемую форму заявления на выдачу такой справки. Выплаты, освобождаемые от НДФЛ на основании такой справки, начнутся не скоро, но ФНС, видимо, имеет в виду, что запасаться справками можно уже сейчас.</w:t>
      </w:r>
      <w:bookmarkEnd w:id="54"/>
    </w:p>
    <w:p w14:paraId="55C623DC" w14:textId="77777777" w:rsidR="006A79EB" w:rsidRPr="0019113B" w:rsidRDefault="006A79EB" w:rsidP="006A79EB">
      <w:r w:rsidRPr="0019113B">
        <w:t>ФНС разослала рекомендуемую форму заявления о выдаче справки налогового органа, которой подтверждается, что гражданин имеет не более трех одновременно договоров долгосрочных сбережений в целях применения пункта 1 статьи 213.1 НК. При этом не учитываются в качестве «лишних» договоры, открытые для перевода всех сумм с одного на другой.</w:t>
      </w:r>
    </w:p>
    <w:p w14:paraId="2D5A9773" w14:textId="77777777" w:rsidR="006A79EB" w:rsidRPr="0019113B" w:rsidRDefault="006A79EB" w:rsidP="006A79EB">
      <w:r w:rsidRPr="0019113B">
        <w:t>Также разосланы:</w:t>
      </w:r>
    </w:p>
    <w:p w14:paraId="0770D92B" w14:textId="77777777" w:rsidR="006A79EB" w:rsidRPr="0019113B" w:rsidRDefault="006A79EB" w:rsidP="006A79EB">
      <w:r w:rsidRPr="0019113B">
        <w:t>•</w:t>
      </w:r>
      <w:r w:rsidRPr="0019113B">
        <w:tab/>
        <w:t>формат представления и порядок заполнения указанного заявления;</w:t>
      </w:r>
    </w:p>
    <w:p w14:paraId="0F47F78D" w14:textId="77777777" w:rsidR="006A79EB" w:rsidRPr="0019113B" w:rsidRDefault="006A79EB" w:rsidP="006A79EB">
      <w:r w:rsidRPr="0019113B">
        <w:t>•</w:t>
      </w:r>
      <w:r w:rsidRPr="0019113B">
        <w:tab/>
        <w:t>форма сообщения об отказе в выдаче справки;</w:t>
      </w:r>
    </w:p>
    <w:p w14:paraId="56F0A726" w14:textId="77777777" w:rsidR="006A79EB" w:rsidRPr="0019113B" w:rsidRDefault="006A79EB" w:rsidP="006A79EB">
      <w:r w:rsidRPr="0019113B">
        <w:t>•</w:t>
      </w:r>
      <w:r w:rsidRPr="0019113B">
        <w:tab/>
        <w:t>форма справки о соблюдении условия о количестве договоров долгосрочных сбережений, предусмотренного пунктом 1 статьи 213.1 НК (письмо от 11.06.2025 N БС-4-11/5750@).</w:t>
      </w:r>
    </w:p>
    <w:p w14:paraId="69494F38" w14:textId="77777777" w:rsidR="006A79EB" w:rsidRPr="0019113B" w:rsidRDefault="006A79EB" w:rsidP="006A79EB">
      <w:r w:rsidRPr="0019113B">
        <w:t>Напомним, что исходя из указанной нормы, в частности, НДФЛ не облагаются суммы выплат по ДДС, превышающие суммы уплаченных физлицом сберегательных взносов, в пределах 30 миллионов рублей по каждому договору и 30 миллионов рублей за каждый налоговый период, если основания для назначения таких выплат наступают не ранее чем через 10 лет с даты заключения договора, и если в течение срока действия договора налогоплательщик имел одновременно не более двух других договоров долгосрочных сбережений. Выплаты такие начнутся не скоро, но ФНС, видимо, имеет в виду, что запасаться справками можно уже сейчас.</w:t>
      </w:r>
    </w:p>
    <w:p w14:paraId="3C70FF32" w14:textId="77777777" w:rsidR="006A79EB" w:rsidRPr="0019113B" w:rsidRDefault="006A79EB" w:rsidP="006A79EB">
      <w:r w:rsidRPr="0019113B">
        <w:t>Кстати, планируется, что будут учитываться не только взносы, уплаченные самим физлицом, но и уплаченные его работодателем, если такой работник является одновременно вкладчиком по соответствующему договору долгосрочных сбережений и участником такого договора. То есть, уплата взносов работодателем не будет схемой, позволяющей впоследствии минимизировать налог. Но этому будет корреспондировать учет взносов, уплаченных работодателем, в целях налогового вычета по НДФЛ.</w:t>
      </w:r>
    </w:p>
    <w:p w14:paraId="55FAF190" w14:textId="77777777" w:rsidR="006A79EB" w:rsidRPr="0019113B" w:rsidRDefault="006A79EB" w:rsidP="006A79EB">
      <w:hyperlink r:id="rId15" w:history="1">
        <w:r w:rsidRPr="0019113B">
          <w:rPr>
            <w:rStyle w:val="a3"/>
          </w:rPr>
          <w:t>https://bankreal.ru/finansy/9684-uzhe-mozhno-zaprashivat-v-nalogovoj-spravki-o-kolichestve-dogovorov-dolgosrochnyh-sberezhenij-finansy.html</w:t>
        </w:r>
      </w:hyperlink>
      <w:r w:rsidRPr="0019113B">
        <w:t xml:space="preserve"> </w:t>
      </w:r>
    </w:p>
    <w:p w14:paraId="1711F755" w14:textId="77777777" w:rsidR="001D2C30" w:rsidRPr="0019113B" w:rsidRDefault="001D2C30" w:rsidP="001D2C30">
      <w:pPr>
        <w:pStyle w:val="2"/>
      </w:pPr>
      <w:bookmarkStart w:id="55" w:name="_Toc201901905"/>
      <w:r w:rsidRPr="0019113B">
        <w:lastRenderedPageBreak/>
        <w:t>Унечская газета, 26.06.2025, Программа долгосрочных сбережений становится опорой финансовой стабильности россиян</w:t>
      </w:r>
      <w:bookmarkEnd w:id="55"/>
    </w:p>
    <w:p w14:paraId="274A3F70" w14:textId="77777777" w:rsidR="001D2C30" w:rsidRPr="0019113B" w:rsidRDefault="001D2C30" w:rsidP="0097376F">
      <w:pPr>
        <w:pStyle w:val="3"/>
      </w:pPr>
      <w:bookmarkStart w:id="56" w:name="_Toc201901906"/>
      <w:r w:rsidRPr="0019113B">
        <w:t>Участники сессии «Программа долгосрочных сбережений – драйвер развития российской экономики и улучшения благосостояния граждан» Петербургского международного экономического форума сошлись во мнении, что новая система накоплений не только способствует укреплению личной финансовой устойчивости, но и открывает перспективы для повышения инвестиционной активности и развития рынка труда.</w:t>
      </w:r>
      <w:bookmarkEnd w:id="56"/>
    </w:p>
    <w:p w14:paraId="66707112" w14:textId="77777777" w:rsidR="001D2C30" w:rsidRPr="0019113B" w:rsidRDefault="001D2C30" w:rsidP="001D2C30">
      <w:r w:rsidRPr="0019113B">
        <w:t>Программа долгосрочных сбережений дает гражданам возможность формировать устойчивые финансовые привычки, откладывая средства на решение ключевых жизненных задач — от оплаты образования до приобретения жилья. При этом участие в программе позволяет работодателям выступать активными участниками формирования будущего своих сотрудников.</w:t>
      </w:r>
    </w:p>
    <w:p w14:paraId="02AEA106" w14:textId="77777777" w:rsidR="001D2C30" w:rsidRPr="0019113B" w:rsidRDefault="001D2C30" w:rsidP="001D2C30">
      <w:r w:rsidRPr="0019113B">
        <w:t>На сессии отметили, что программа долгосрочных сбережений способствует формированию семейной финансовой культуры. Когда в семье есть участники программы, дети видят этот пример и в будущем повторяют его. Это инвестиции не только в себя, но и в следующее поколение.</w:t>
      </w:r>
    </w:p>
    <w:p w14:paraId="006422B9" w14:textId="77777777" w:rsidR="001D2C30" w:rsidRPr="0019113B" w:rsidRDefault="001D2C30" w:rsidP="001D2C30">
      <w:r w:rsidRPr="0019113B">
        <w:t>Представители банковского сектора подчеркнули, что ПДС — это не просто альтернатива пенсионным накоплениям, а универсальный инструмент для решения долгосрочных задач. Это та самая поддержка, которая позволяет уверенно планировать будущее, особенно в сложные жизненные периоды. А для бизнеса программа может стать частью корпоративной стратегии по удержанию сотрудников. Компания показывает, что верит в сотрудника в долгую, и это своего рода инвестиционная опция на 15 лет, в которой участвуют и работодатель, и государство, и сам человек.</w:t>
      </w:r>
    </w:p>
    <w:p w14:paraId="1C94C7E3" w14:textId="77777777" w:rsidR="001D2C30" w:rsidRPr="0019113B" w:rsidRDefault="001D2C30" w:rsidP="001D2C30">
      <w:r w:rsidRPr="0019113B">
        <w:t>Программа долгосрочных сбережений также рассматривается как показатель надежности и социальной ответственности работодателя. Заместитель министра финансов РФ Иван Чебесков заявил, что работодатели, предлагающие программу, входят в так называемый «клуб приличных». Это становится маркером качества и заботы о сотрудниках, уверен замминистра. «За полтора года работы в России заключено уже более 5 миллионов договоров по программе долгосрочных сбережений. Это говорит о значительном интересе граждан и открывает новые горизонты для негосударственных пенсионных фондов».</w:t>
      </w:r>
    </w:p>
    <w:p w14:paraId="12C50E2D" w14:textId="77777777" w:rsidR="001D2C30" w:rsidRPr="0019113B" w:rsidRDefault="001D2C30" w:rsidP="001D2C30">
      <w:r w:rsidRPr="0019113B">
        <w:t>По мнению Николая Журавлева, заместителя председателя Совета Федерации, программа дает гражданам гарантии финансовой безопасности, так как это личный план на будущее, защищенный, контролируемый и надежный.</w:t>
      </w:r>
    </w:p>
    <w:p w14:paraId="2CBD9F34" w14:textId="77777777" w:rsidR="001D2C30" w:rsidRPr="0019113B" w:rsidRDefault="001D2C30" w:rsidP="001D2C30">
      <w:r w:rsidRPr="0019113B">
        <w:t>Сессия подтвердила, что программа долгосрочных сбережений — это не просто финансовый инструмент, а элемент устойчивого развития экономики. При системной поддержке государства, бизнеса и граждан она способна изменить подход к финансовому планированию и обеспечить уверенность в завтрашнем дне для миллионов россиян.</w:t>
      </w:r>
    </w:p>
    <w:p w14:paraId="019152FB" w14:textId="77777777" w:rsidR="001D2C30" w:rsidRPr="0019113B" w:rsidRDefault="001D2C30" w:rsidP="001D2C30">
      <w:hyperlink r:id="rId16" w:history="1">
        <w:r w:rsidRPr="0019113B">
          <w:rPr>
            <w:rStyle w:val="a3"/>
          </w:rPr>
          <w:t>https://unecha-gazeta.ru/society/2025/06/26/programma-dolgosrochnyh-sberezhenij-stanovitsya-oporoj-finansovoj-stabilnosti-rossiyan/</w:t>
        </w:r>
      </w:hyperlink>
      <w:r w:rsidRPr="0019113B">
        <w:t xml:space="preserve"> </w:t>
      </w:r>
    </w:p>
    <w:p w14:paraId="3F29066E" w14:textId="77777777" w:rsidR="00DA631E" w:rsidRPr="0019113B" w:rsidRDefault="00DA631E" w:rsidP="00DA631E">
      <w:pPr>
        <w:pStyle w:val="2"/>
      </w:pPr>
      <w:bookmarkStart w:id="57" w:name="_Toc201901907"/>
      <w:r w:rsidRPr="0019113B">
        <w:lastRenderedPageBreak/>
        <w:t>Наш Красноярский край, 26.06.2025, Как работает программа долгосрочных сбережений</w:t>
      </w:r>
      <w:bookmarkEnd w:id="57"/>
    </w:p>
    <w:p w14:paraId="23E879FD" w14:textId="77777777" w:rsidR="00DA631E" w:rsidRPr="0019113B" w:rsidRDefault="00DA631E" w:rsidP="0097376F">
      <w:pPr>
        <w:pStyle w:val="3"/>
      </w:pPr>
      <w:bookmarkStart w:id="58" w:name="_Toc201901908"/>
      <w:r w:rsidRPr="0019113B">
        <w:t>Программа долгосрочных сбережений предлагает россиянам копить деньги при активной поддержке государства.</w:t>
      </w:r>
      <w:bookmarkEnd w:id="58"/>
    </w:p>
    <w:p w14:paraId="289C9D8D" w14:textId="77777777" w:rsidR="00DA631E" w:rsidRPr="0019113B" w:rsidRDefault="00DA631E" w:rsidP="00DA631E">
      <w:r w:rsidRPr="0019113B">
        <w:t>Как сообщает Министерство финансов России, программа долгосрочных сбережений (ПДС) объединяет личные вклады, пенсионные накопления (граждан 1967—1996 г. р.), корпоративные отчисления и государственное софинансирование. При соблюдении определенных условий бюджет при этом ежегодно добавляет до 36 000 рублей на счет. Плюс с собственных взносов (до 400 000 рублей в год) можно вернуть 13 % НДФЛ.</w:t>
      </w:r>
    </w:p>
    <w:p w14:paraId="1B54FE5F" w14:textId="77777777" w:rsidR="00DA631E" w:rsidRPr="0019113B" w:rsidRDefault="00DA631E" w:rsidP="00DA631E">
      <w:r w:rsidRPr="0019113B">
        <w:t>Вносить необходимо не меньше 2 000 рублей в год. Господдержка зависит от зарплаты:</w:t>
      </w:r>
    </w:p>
    <w:p w14:paraId="26AF3551" w14:textId="77777777" w:rsidR="00DA631E" w:rsidRPr="0019113B" w:rsidRDefault="00DA631E" w:rsidP="00DA631E">
      <w:r w:rsidRPr="0019113B">
        <w:t xml:space="preserve">    если она не выше 80 тысяч рублей до вычета НДФЛ, государство рубль к рублю удваивает взносы;</w:t>
      </w:r>
    </w:p>
    <w:p w14:paraId="2A9D1DBF" w14:textId="77777777" w:rsidR="00DA631E" w:rsidRPr="0019113B" w:rsidRDefault="00DA631E" w:rsidP="00DA631E">
      <w:r w:rsidRPr="0019113B">
        <w:t xml:space="preserve">    при доходе 80—150 тыс. рублей соотношение поддержки 1:2,</w:t>
      </w:r>
    </w:p>
    <w:p w14:paraId="688B0080" w14:textId="77777777" w:rsidR="00DA631E" w:rsidRPr="0019113B" w:rsidRDefault="00DA631E" w:rsidP="00DA631E">
      <w:r w:rsidRPr="0019113B">
        <w:t xml:space="preserve">    для тех, кто зарабатывает больше 150 тыс. в месяц, соотношение – 1:4.</w:t>
      </w:r>
    </w:p>
    <w:p w14:paraId="379F1FB8" w14:textId="77777777" w:rsidR="00DA631E" w:rsidRPr="0019113B" w:rsidRDefault="00DA631E" w:rsidP="00DA631E">
      <w:r w:rsidRPr="0019113B">
        <w:t>В итоге доходность программы для граждан с заработной платой до 80 тыс. рублей достигает 123 % годовых, обещают в Минфине. Достигается она за счет госдобавки, налогового вычета и инвестиционного дохода. За 15 лет личные взносы могут вырасти более чем в 4 раза, банковский депозит принесет доход в разы меньше.</w:t>
      </w:r>
    </w:p>
    <w:p w14:paraId="6E909AED" w14:textId="77777777" w:rsidR="00DA631E" w:rsidRPr="0019113B" w:rsidRDefault="00DA631E" w:rsidP="00DA631E">
      <w:r w:rsidRPr="0019113B">
        <w:t>Снять накопления можно через 15 лет после заключения договора, при достижении пенсионного возраста (55 лет для женщин, 60 – для мужчин) или в особых обстоятельствах.</w:t>
      </w:r>
    </w:p>
    <w:p w14:paraId="3C946212" w14:textId="77777777" w:rsidR="00DA631E" w:rsidRPr="0019113B" w:rsidRDefault="00DA631E" w:rsidP="00DA631E">
      <w:r w:rsidRPr="0019113B">
        <w:t>В случае проблем с фондом, в котором создан счет, государство гарантирует сбережение до 2,8 млн рублей – вдвое больше, чем для других вкладов. Негосударственные пенсионные фонды обязаны в любом случае сохранить «тело» вклада.</w:t>
      </w:r>
    </w:p>
    <w:p w14:paraId="23831CA4" w14:textId="77777777" w:rsidR="00DA631E" w:rsidRPr="0019113B" w:rsidRDefault="00DA631E" w:rsidP="00DA631E">
      <w:r w:rsidRPr="0019113B">
        <w:t>При этом 100 % средств на счете, включая инвестиционный доход, перейдет наследникам даже после начала выплат.</w:t>
      </w:r>
    </w:p>
    <w:p w14:paraId="77EE79B8" w14:textId="77777777" w:rsidR="00DA631E" w:rsidRPr="0019113B" w:rsidRDefault="00DA631E" w:rsidP="00DA631E">
      <w:r w:rsidRPr="0019113B">
        <w:t>Уже сегодня 35 из 38 негосударственных пенсионных фондов в России управляют такими счетами. Общая их сумма достигла 330 млрд рублей. Чтобы присоединиться, достаточно выбрать фонд на платформе pds.napf.ru и оформить договор онлайн.</w:t>
      </w:r>
    </w:p>
    <w:p w14:paraId="12C08640" w14:textId="77777777" w:rsidR="00DA631E" w:rsidRPr="0019113B" w:rsidRDefault="00DA631E" w:rsidP="00DA631E">
      <w:hyperlink r:id="rId17" w:history="1">
        <w:r w:rsidRPr="0019113B">
          <w:rPr>
            <w:rStyle w:val="a3"/>
          </w:rPr>
          <w:t>https://gnkk.ru/news/kak-rabotaet-programma-dolgosrochnykh/</w:t>
        </w:r>
      </w:hyperlink>
      <w:r w:rsidRPr="0019113B">
        <w:t xml:space="preserve"> </w:t>
      </w:r>
    </w:p>
    <w:p w14:paraId="7EEB0935" w14:textId="77777777" w:rsidR="00DA631E" w:rsidRPr="0019113B" w:rsidRDefault="00DA631E" w:rsidP="00DA631E">
      <w:pPr>
        <w:pStyle w:val="2"/>
      </w:pPr>
      <w:bookmarkStart w:id="59" w:name="_Toc201901909"/>
      <w:r w:rsidRPr="0019113B">
        <w:t>Канские Ведомости, 26.06.2025, Будущее под защитой: как государство умножает ваши сбережения</w:t>
      </w:r>
      <w:bookmarkEnd w:id="59"/>
    </w:p>
    <w:p w14:paraId="19CD2CCB" w14:textId="77777777" w:rsidR="00DA631E" w:rsidRPr="0019113B" w:rsidRDefault="00DA631E" w:rsidP="0097376F">
      <w:pPr>
        <w:pStyle w:val="3"/>
      </w:pPr>
      <w:bookmarkStart w:id="60" w:name="_Toc201901910"/>
      <w:r w:rsidRPr="0019113B">
        <w:t>Программа долгосрочных сбережений предлагает россиянам создать капитал при активной поддержке государства.</w:t>
      </w:r>
      <w:bookmarkEnd w:id="60"/>
    </w:p>
    <w:p w14:paraId="6F3C2902" w14:textId="77777777" w:rsidR="00DA631E" w:rsidRPr="0019113B" w:rsidRDefault="00DA631E" w:rsidP="00DA631E">
      <w:r w:rsidRPr="0019113B">
        <w:t xml:space="preserve">В отличие от классических депозитов или инвестиционных инструментов, программа долгосрочных сбережений (ПДС) объединяет личные взносы граждан, пенсионные накопления работников 1967-1996 годов рождения, корпоративные отчисления и государственное софинансирование. Последнее – ключевое преимущество: бюджет </w:t>
      </w:r>
      <w:r w:rsidRPr="0019113B">
        <w:lastRenderedPageBreak/>
        <w:t>ежегодно добавляет до 36 000 рублей на ваш счет, но только если вы сами вносите минимум 2000 рублей в год.</w:t>
      </w:r>
    </w:p>
    <w:p w14:paraId="71FE1395" w14:textId="77777777" w:rsidR="00DA631E" w:rsidRPr="0019113B" w:rsidRDefault="00DA631E" w:rsidP="00DA631E">
      <w:r w:rsidRPr="0019113B">
        <w:t>Размер господдержки зависит от дохода: при зарплате до 80 тысяч рублей до вычета НДФЛ государство рубль к рублю удваивает ваши взносы. Для граждан с доходом 80-150 тыс. рублей соотношение 1:2, а для тех, кто зарабатывает больше – 1:4.</w:t>
      </w:r>
    </w:p>
    <w:p w14:paraId="3B421DA9" w14:textId="77777777" w:rsidR="00DA631E" w:rsidRPr="0019113B" w:rsidRDefault="00DA631E" w:rsidP="00DA631E">
      <w:r w:rsidRPr="0019113B">
        <w:t>Гибкость программы впечатляет. Накопления становятся доступны через 15 лет после заключения договора, при достижении пенсионного возраста (55 лет для женщин, 60 – для мужчин) или в форс-мажорных обстоятельствах: например, при необходимости дорогостоящего лечения или потере кормильца. При этом государство гарантирует сохранность до 2,8 млн рублей – вдвое больше, чем страхуют банковские вклады. Отдельно стоит налоговый бонус: можно вернуть 13% НДФЛ с личных взносов (до 400 000 рублей ежегодно).</w:t>
      </w:r>
    </w:p>
    <w:p w14:paraId="7278B0D6" w14:textId="77777777" w:rsidR="00DA631E" w:rsidRPr="0019113B" w:rsidRDefault="00DA631E" w:rsidP="00DA631E">
      <w:r w:rsidRPr="0019113B">
        <w:t>Почему ПДС обгоняет альтернативы? Здесь практически обеспечена безубыточность – негосударственные пенсионные фонды обязаны защитить «тело» вклада. А по сравнению с накопительным страхованием жизни, ПДС предлагает более высокий лимит страхования (2,8 млн рублей) и софинансирование. Доходность программы для граждан с заработной платой до 80 тыс. рублей достигает 123% годовых за счет трёх компонентов: госдобавки, налогового вычета и инвестиционного дохода. Таким образом, за 15 лет личные взносы могут вырасти более, чем в 4 раза, а банковский депозит с теми же 3 000 рублей ежемесячно принесет доход в разы меньше.</w:t>
      </w:r>
    </w:p>
    <w:p w14:paraId="1B24F6C8" w14:textId="77777777" w:rsidR="00DA631E" w:rsidRPr="0019113B" w:rsidRDefault="00DA631E" w:rsidP="00DA631E">
      <w:r w:rsidRPr="0019113B">
        <w:t>Важно и право наследования: 100% средств на счете, включая инвестиционный доход, перейдет наследникам даже после начала выплат. Исключение составляет только пожизненная рента.</w:t>
      </w:r>
    </w:p>
    <w:p w14:paraId="741C2601" w14:textId="77777777" w:rsidR="00DA631E" w:rsidRPr="0019113B" w:rsidRDefault="00DA631E" w:rsidP="00DA631E">
      <w:r w:rsidRPr="0019113B">
        <w:t>Уже сегодня 35 из 38 негосударственных пенсионных фондов в России управляют такими счетами, аккумулировав 330 млрд рублей. Чтобы присоединиться, достаточно выбрать фонд на платформе pds.napf.ru и оформить договор онлайн. А проверить текущие пенсионные накопления можно на портале Госуслуг – это займет три клика.</w:t>
      </w:r>
    </w:p>
    <w:p w14:paraId="76EADBE9" w14:textId="77777777" w:rsidR="00DA631E" w:rsidRPr="0019113B" w:rsidRDefault="00DA631E" w:rsidP="00DA631E">
      <w:r w:rsidRPr="0019113B">
        <w:t>Подробности – в прикрепленной презентации.</w:t>
      </w:r>
    </w:p>
    <w:p w14:paraId="2B037B0C" w14:textId="77777777" w:rsidR="00DA631E" w:rsidRPr="0019113B" w:rsidRDefault="00DA631E" w:rsidP="00DA631E">
      <w:hyperlink r:id="rId18" w:history="1">
        <w:r w:rsidRPr="0019113B">
          <w:rPr>
            <w:rStyle w:val="a3"/>
          </w:rPr>
          <w:t>https://kvgazeta.ru/articles/budushhee-pod-zashhitoj-kak-gosudarstvo-umnozhaet-vashi-sberezheniya/</w:t>
        </w:r>
      </w:hyperlink>
      <w:r w:rsidRPr="0019113B">
        <w:t xml:space="preserve"> </w:t>
      </w:r>
    </w:p>
    <w:p w14:paraId="3F944983" w14:textId="77777777" w:rsidR="00E82515" w:rsidRPr="0019113B" w:rsidRDefault="00E82515" w:rsidP="00E82515">
      <w:pPr>
        <w:pStyle w:val="2"/>
      </w:pPr>
      <w:bookmarkStart w:id="61" w:name="_Toc201901911"/>
      <w:r w:rsidRPr="0019113B">
        <w:t>Медиа 73, 26.06.2025, Ульяновцы заключили около 46 тысяч договоров по программе долгосрочных сбережений</w:t>
      </w:r>
      <w:bookmarkEnd w:id="61"/>
    </w:p>
    <w:p w14:paraId="36D4EB60" w14:textId="77777777" w:rsidR="00E82515" w:rsidRPr="0019113B" w:rsidRDefault="00E82515" w:rsidP="0097376F">
      <w:pPr>
        <w:pStyle w:val="3"/>
      </w:pPr>
      <w:bookmarkStart w:id="62" w:name="_Toc201901912"/>
      <w:r w:rsidRPr="0019113B">
        <w:t>Регион посетили эксперты Министерства финансов РФ и саморегулируемой организации «Национальная ассоциация негосударственных пенсионных фондов».</w:t>
      </w:r>
      <w:bookmarkEnd w:id="62"/>
    </w:p>
    <w:p w14:paraId="215691FA" w14:textId="77777777" w:rsidR="00E82515" w:rsidRPr="0019113B" w:rsidRDefault="00E82515" w:rsidP="00E82515">
      <w:r w:rsidRPr="0019113B">
        <w:t xml:space="preserve">В состав делегации вошли: начальник отдела регулирования негосударственных пенсионных фондов в департаменте финансовой политики Министерства финансов России Наталия Каменская, вице-президент Национальной ассоциации негосударственных пенсионных фондов Алексей Денисов, заместитель начальника отдела регулирования негосударственных пенсионных фондов в департаменте финансовой политики Министерства финансов России Игорь Горбунов,  руководитель пресс-службы Национальной ассоциации негосударственных пенсионных фондов Иван </w:t>
      </w:r>
      <w:r w:rsidRPr="0019113B">
        <w:lastRenderedPageBreak/>
        <w:t xml:space="preserve">Коломацкий. Они посетили несколько ульяновских предприятий и рассказали про Программу долгосрочных сбережений. </w:t>
      </w:r>
    </w:p>
    <w:p w14:paraId="112ADDF8" w14:textId="77777777" w:rsidR="00E82515" w:rsidRPr="0019113B" w:rsidRDefault="00E82515" w:rsidP="00E82515">
      <w:r w:rsidRPr="0019113B">
        <w:t>По словам министра финансов Ульяновской области Натальи Брюхановой, в регионе заключено почти 46 тысяч договоров на сумму около двух млрд рублей.</w:t>
      </w:r>
    </w:p>
    <w:p w14:paraId="349224C6" w14:textId="77777777" w:rsidR="00E82515" w:rsidRPr="0019113B" w:rsidRDefault="00E82515" w:rsidP="00E82515">
      <w:r w:rsidRPr="0019113B">
        <w:t xml:space="preserve">На Петербургском международном экономическом форуме заместитель министра финансов РФ Иван Чебесков рассказал о необходимости создания комплекса условий и стимулов для формирования правильного отношения граждан, особенно молодёжи, к вопросам долгосрочных сбережений и пенсионного обеспечения. Анонсирован запуск детской ПДС — нового инструмента, который поможет семьям планировать будущее своих детей. </w:t>
      </w:r>
    </w:p>
    <w:p w14:paraId="659983D0" w14:textId="3FBEFF27" w:rsidR="00E82515" w:rsidRPr="0019113B" w:rsidRDefault="00E82515" w:rsidP="00E82515">
      <w:r w:rsidRPr="0019113B">
        <w:t xml:space="preserve">Напомним, Программа долгосрочных сбережений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ней — добровольное, а условия максимально гибкие: участники сами решают, какую </w:t>
      </w:r>
      <w:r w:rsidR="009A3D09" w:rsidRPr="0019113B">
        <w:t>сумму и</w:t>
      </w:r>
      <w:r w:rsidRPr="0019113B">
        <w:t xml:space="preserve"> как часто вносить в программу. 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w:t>
      </w:r>
    </w:p>
    <w:p w14:paraId="4D62B221" w14:textId="77777777" w:rsidR="00E82515" w:rsidRPr="0019113B" w:rsidRDefault="00E82515" w:rsidP="00E82515">
      <w:r w:rsidRPr="0019113B">
        <w:t xml:space="preserve">С подробной информацией о Программе можно ознакомиться на моифинансы.рф и napf.ru. </w:t>
      </w:r>
    </w:p>
    <w:p w14:paraId="5E588795" w14:textId="77777777" w:rsidR="00111D7C" w:rsidRPr="0019113B" w:rsidRDefault="00E82515" w:rsidP="00E82515">
      <w:hyperlink r:id="rId19" w:history="1">
        <w:r w:rsidRPr="0019113B">
          <w:rPr>
            <w:rStyle w:val="a3"/>
          </w:rPr>
          <w:t>https://media73.ru/2025/ulyanovtsy-zaklyuchili-okolo-46-tysyach-dogovorov-po-programme-dolgosrochnykh-sberezheniy</w:t>
        </w:r>
      </w:hyperlink>
    </w:p>
    <w:p w14:paraId="0556590B" w14:textId="77777777" w:rsidR="00007333" w:rsidRPr="0019113B" w:rsidRDefault="00007333" w:rsidP="00007333">
      <w:pPr>
        <w:pStyle w:val="2"/>
      </w:pPr>
      <w:bookmarkStart w:id="63" w:name="a6"/>
      <w:bookmarkStart w:id="64" w:name="_Toc201901913"/>
      <w:bookmarkEnd w:id="63"/>
      <w:r w:rsidRPr="0019113B">
        <w:t>РБК Краснодар, 26.06.2025, Жители Кубани инвестировали ₽7 млрд в программу долгосрочных сбережений</w:t>
      </w:r>
      <w:bookmarkEnd w:id="64"/>
    </w:p>
    <w:p w14:paraId="5CA29C6A" w14:textId="77777777" w:rsidR="00007333" w:rsidRPr="0019113B" w:rsidRDefault="00007333" w:rsidP="0097376F">
      <w:pPr>
        <w:pStyle w:val="3"/>
      </w:pPr>
      <w:bookmarkStart w:id="65" w:name="_Toc201901914"/>
      <w:r w:rsidRPr="0019113B">
        <w:t>С начала 2024 года жители Кубани направили более 7 млрд руб. в новую государственную программу долгосрочных сбережений. Инициатива предусматривает налоговые льготы и софинансирование со стороны государства, что делает ее привлекательной для граждан, стремящихся обеспечить финансовую подушку на будущее. Об этом сообщает пресс-служба администрации Краснодарского края.</w:t>
      </w:r>
      <w:bookmarkEnd w:id="65"/>
    </w:p>
    <w:p w14:paraId="655768CB" w14:textId="77777777" w:rsidR="00007333" w:rsidRPr="0019113B" w:rsidRDefault="00007333" w:rsidP="00007333">
      <w:r w:rsidRPr="0019113B">
        <w:t>«Мы видим положительную динамику в количестве заключаемых договоров, что свидетельствует о том, что люди начинают осознавать важность планирования своих финансов. На данный момент в крае заключено более 179 тысяч договоров по программе ПДС. Высокая активность кубанцев обусловлена не только развитой инфраструктурой финансовых услуг в регионе, но и эффективной информационной кампанией о преимуществах ПДС», — отметил министр экономики Краснодарского края Алексей Юртаев.</w:t>
      </w:r>
    </w:p>
    <w:p w14:paraId="655C2F3A" w14:textId="77777777" w:rsidR="00007333" w:rsidRPr="0019113B" w:rsidRDefault="00007333" w:rsidP="00007333">
      <w:r w:rsidRPr="0019113B">
        <w:t>Государство гарантирует сохранность сбережений участников программы в пределах суммы до 2,8 млн руб.</w:t>
      </w:r>
    </w:p>
    <w:p w14:paraId="1C8CAB19" w14:textId="77777777" w:rsidR="00007333" w:rsidRPr="0019113B" w:rsidRDefault="00007333" w:rsidP="00007333">
      <w:r w:rsidRPr="0019113B">
        <w:t xml:space="preserve">Также по данным властей, участники получают от государства cофинансирование уплаченных взносов в размере до 36 тысяч рублей. Минимальный период участия </w:t>
      </w:r>
      <w:r w:rsidRPr="0019113B">
        <w:lastRenderedPageBreak/>
        <w:t>составляет 15 лет, однако предусмотрена возможность досрочного использования средств. Выплаты доступны при достижении 55 лет для женщин и 60 лет для мужчин, а также в случае возникновения особых жизненных обстоятельств, таких как необходимость оплаты дорогостоящего лечения или потеря кормильца.</w:t>
      </w:r>
    </w:p>
    <w:p w14:paraId="5B8CAE8E" w14:textId="77777777" w:rsidR="00007333" w:rsidRPr="0019113B" w:rsidRDefault="00007333" w:rsidP="00007333">
      <w:r w:rsidRPr="0019113B">
        <w:t>Ранее РБК Краснодар сообщал, что жители Кубани заключили договоры по долгосрочным сбережениям на 2,6 млрд руб. по итогам 2024 года. Средства, полученные по программе, фонды вкладывают в государственные ценные бумаги, корпоративные облигации, акции и прочие финансовые документа.</w:t>
      </w:r>
    </w:p>
    <w:p w14:paraId="3F115A93" w14:textId="77777777" w:rsidR="00007333" w:rsidRPr="0019113B" w:rsidRDefault="00007333" w:rsidP="00007333">
      <w:hyperlink r:id="rId20" w:history="1">
        <w:r w:rsidRPr="0019113B">
          <w:rPr>
            <w:rStyle w:val="a3"/>
          </w:rPr>
          <w:t>https://kuban.rbc.ru/krasnodar/freenews/685d42f59a794744ebab86db</w:t>
        </w:r>
      </w:hyperlink>
      <w:r w:rsidRPr="0019113B">
        <w:t xml:space="preserve"> </w:t>
      </w:r>
    </w:p>
    <w:p w14:paraId="17CC7CD7" w14:textId="77777777" w:rsidR="001D2C30" w:rsidRPr="0019113B" w:rsidRDefault="001D2C30" w:rsidP="001D2C30">
      <w:pPr>
        <w:pStyle w:val="2"/>
      </w:pPr>
      <w:bookmarkStart w:id="66" w:name="_Toc201901915"/>
      <w:r w:rsidRPr="0019113B">
        <w:t>АиФ Краснодар, 26.06.2025, Жители Кубани вложили в долгосрочные сбережения более 7 млрд рублей</w:t>
      </w:r>
      <w:bookmarkEnd w:id="66"/>
      <w:r w:rsidRPr="0019113B">
        <w:t xml:space="preserve"> </w:t>
      </w:r>
    </w:p>
    <w:p w14:paraId="1ADE09DE" w14:textId="77777777" w:rsidR="001D2C30" w:rsidRPr="0019113B" w:rsidRDefault="001D2C30" w:rsidP="0097376F">
      <w:pPr>
        <w:pStyle w:val="3"/>
      </w:pPr>
      <w:bookmarkStart w:id="67" w:name="_Toc201901916"/>
      <w:r w:rsidRPr="0019113B">
        <w:t>Жители Кубани с начала 2024 года вложили в долгосрочные сбережения более 7 млрд рублей, сообщает пресс-служба администрации Краснодарского края.</w:t>
      </w:r>
      <w:bookmarkEnd w:id="67"/>
    </w:p>
    <w:p w14:paraId="532D413F" w14:textId="77777777" w:rsidR="001D2C30" w:rsidRPr="0019113B" w:rsidRDefault="001D2C30" w:rsidP="001D2C30">
      <w:r w:rsidRPr="0019113B">
        <w:t>Программа, стартовавшая 1 января, позволяет гражданам формировать накопления с поддержкой государства: предусмотрены налоговые льготы и софинансирование, что делает ее особенно привлекательной.</w:t>
      </w:r>
    </w:p>
    <w:p w14:paraId="0A2CDF30" w14:textId="77777777" w:rsidR="001D2C30" w:rsidRPr="0019113B" w:rsidRDefault="001D2C30" w:rsidP="001D2C30">
      <w:r w:rsidRPr="0019113B">
        <w:t>Как отметил министр экономики Краснодарского края Алексей Юртаев, в регионе заключено более 179 тыс. договоров по программе долгосрочных сбережений. Он подчеркнул, что высокая активность кубанцев связана не только с развитой финансовой инфраструктурой, но и с эффективной информационной компанией о преимуществах программы.</w:t>
      </w:r>
    </w:p>
    <w:p w14:paraId="767AEAFB" w14:textId="77777777" w:rsidR="001D2C30" w:rsidRPr="0019113B" w:rsidRDefault="001D2C30" w:rsidP="001D2C30">
      <w:r w:rsidRPr="0019113B">
        <w:t>Ранее мы писали, что Кубань вошла в десятку лидеров по развитию государственно-частного партнерства. Рейтинг представило Министерство экономического развития РФ.</w:t>
      </w:r>
    </w:p>
    <w:p w14:paraId="6495A860" w14:textId="77777777" w:rsidR="001D2C30" w:rsidRPr="0019113B" w:rsidRDefault="001D2C30" w:rsidP="001D2C30">
      <w:hyperlink r:id="rId21" w:history="1">
        <w:r w:rsidRPr="0019113B">
          <w:rPr>
            <w:rStyle w:val="a3"/>
          </w:rPr>
          <w:t>https://kuban.aif.ru/society/zhiteli-kubani-vlozhili-v-dolgosrochnye-sberezheniya-bolee-7-mlrd-rubley</w:t>
        </w:r>
      </w:hyperlink>
      <w:r w:rsidRPr="0019113B">
        <w:t xml:space="preserve"> </w:t>
      </w:r>
    </w:p>
    <w:p w14:paraId="5C695B31" w14:textId="77777777" w:rsidR="001D2C30" w:rsidRPr="0019113B" w:rsidRDefault="001D2C30" w:rsidP="001D2C30">
      <w:pPr>
        <w:pStyle w:val="2"/>
      </w:pPr>
      <w:bookmarkStart w:id="68" w:name="_Toc201901917"/>
      <w:r w:rsidRPr="0019113B">
        <w:t>Весть, 26.06.2025, Жители Калужской области все чаще начинают пользоваться долгосрочными сбережениями</w:t>
      </w:r>
      <w:bookmarkEnd w:id="68"/>
    </w:p>
    <w:p w14:paraId="50DC4B5B" w14:textId="77777777" w:rsidR="001D2C30" w:rsidRPr="0019113B" w:rsidRDefault="001D2C30" w:rsidP="0097376F">
      <w:pPr>
        <w:pStyle w:val="3"/>
      </w:pPr>
      <w:bookmarkStart w:id="69" w:name="_Toc201901918"/>
      <w:r w:rsidRPr="0019113B">
        <w:t>Около 2,8% жителей Калужской области присоединились к программе долгосрочных сбережений (ПДС). В Калуге порядка 30 тысяч человек заключили соответствующие договора.</w:t>
      </w:r>
      <w:bookmarkEnd w:id="69"/>
    </w:p>
    <w:p w14:paraId="2E43B2C2" w14:textId="77777777" w:rsidR="001D2C30" w:rsidRPr="0019113B" w:rsidRDefault="001D2C30" w:rsidP="001D2C30">
      <w:r w:rsidRPr="0019113B">
        <w:t>Такие цифры сообщают в пресс-службе губернатора и правительства Калужской области. Не смотря на малый процент присоединившихся к программе, объём их вложений уже превысил 1,5 миллиарда рублей. И по мнению экспертов, оба этих показателя в дальнейшем будут только расти.</w:t>
      </w:r>
    </w:p>
    <w:p w14:paraId="762D8800" w14:textId="77777777" w:rsidR="001D2C30" w:rsidRPr="0019113B" w:rsidRDefault="001D2C30" w:rsidP="001D2C30">
      <w:r w:rsidRPr="0019113B">
        <w:t>Реализация ПДС обсуждалась на «ПМЭФ-2025». Участники сессии «Проюхээграмма долгосрочных сбережений» сошлись во мнении, что новая система накоплений не только поможет гражданам добиться финансовой устойчивости, но и откроет перспективы для повышения инвестиционной активности и развития рынка труда.</w:t>
      </w:r>
    </w:p>
    <w:p w14:paraId="4BC76BCC" w14:textId="77777777" w:rsidR="001D2C30" w:rsidRPr="0019113B" w:rsidRDefault="001D2C30" w:rsidP="001D2C30">
      <w:r w:rsidRPr="0019113B">
        <w:lastRenderedPageBreak/>
        <w:t xml:space="preserve">«За полтора года работы в России заключено уже более 5 миллионов договоров по ПДС. Это говорит о значительном интересе граждан и открывает новые горизонты для негосударственных пенсионных фондов (НПФ)», </w:t>
      </w:r>
    </w:p>
    <w:p w14:paraId="3C7F5E6E" w14:textId="77777777" w:rsidR="001D2C30" w:rsidRPr="0019113B" w:rsidRDefault="001D2C30" w:rsidP="001D2C30">
      <w:r w:rsidRPr="0019113B">
        <w:t>— отметил заместитель министра финансов РФ Иван Чебесков.</w:t>
      </w:r>
    </w:p>
    <w:p w14:paraId="7D567C52" w14:textId="77777777" w:rsidR="001D2C30" w:rsidRPr="0019113B" w:rsidRDefault="001D2C30" w:rsidP="001D2C30">
      <w:r w:rsidRPr="0019113B">
        <w:t xml:space="preserve">Также в Министерстве финансов России прорабатываются законодательные инициативы, которые позволят работодателям создавать собственные системы мотивации на базе ПДС. </w:t>
      </w:r>
    </w:p>
    <w:p w14:paraId="79EC583C" w14:textId="77777777" w:rsidR="001D2C30" w:rsidRPr="0019113B" w:rsidRDefault="001D2C30" w:rsidP="001D2C30">
      <w:hyperlink r:id="rId22" w:history="1">
        <w:r w:rsidRPr="0019113B">
          <w:rPr>
            <w:rStyle w:val="a3"/>
          </w:rPr>
          <w:t>https://www.vest-news.ru/news/1000506403</w:t>
        </w:r>
      </w:hyperlink>
      <w:r w:rsidRPr="0019113B">
        <w:t xml:space="preserve"> </w:t>
      </w:r>
    </w:p>
    <w:p w14:paraId="7B01FF23" w14:textId="77777777" w:rsidR="001D2C30" w:rsidRPr="0019113B" w:rsidRDefault="001D2C30" w:rsidP="001D2C30">
      <w:pPr>
        <w:pStyle w:val="2"/>
      </w:pPr>
      <w:bookmarkStart w:id="70" w:name="_Toc201901919"/>
      <w:r w:rsidRPr="0019113B">
        <w:t>kaspyinfo.ru, 26.06.2025, Куда вложить 100 тысяч рублей, если они у вас есть</w:t>
      </w:r>
      <w:bookmarkEnd w:id="70"/>
    </w:p>
    <w:p w14:paraId="16A5DFF9" w14:textId="77777777" w:rsidR="001D2C30" w:rsidRPr="0019113B" w:rsidRDefault="001D2C30" w:rsidP="0097376F">
      <w:pPr>
        <w:pStyle w:val="3"/>
      </w:pPr>
      <w:bookmarkStart w:id="71" w:name="_Toc201901920"/>
      <w:r w:rsidRPr="0019113B">
        <w:t>Пенсии сейчас небольшие, но у многих пожилых людей есть накопления, сделанные ими ранее или «отщипываемые» от пенсии, как говорится, на черный день. Под подушкой держать их бессмысленно — инфляция сжирает, поэтому лучше вложить сбережения в финансовые инструменты, доход по которым компенсирует инфляционные потери. Расскажем о том, куда можно пристроить свои кровные, не рискуя их потерять.</w:t>
      </w:r>
      <w:bookmarkEnd w:id="71"/>
    </w:p>
    <w:p w14:paraId="748E097A" w14:textId="77777777" w:rsidR="001D2C30" w:rsidRPr="0019113B" w:rsidRDefault="001D2C30" w:rsidP="001D2C30">
      <w:r w:rsidRPr="0019113B">
        <w:t>Банковский вклад</w:t>
      </w:r>
    </w:p>
    <w:p w14:paraId="080E8C1A" w14:textId="77777777" w:rsidR="001D2C30" w:rsidRPr="0019113B" w:rsidRDefault="001D2C30" w:rsidP="001D2C30">
      <w:r w:rsidRPr="0019113B">
        <w:t>На первом месте по надежности и популярности у населения, особенно пенсионеров, конечно, банковские депозиты. Преимущества налицо: рисков практически нет (вклады на сумму до 1,4 млн рублей застрахованы государством), доход гарантирован, управлять деньгами легко. Остается только разобраться, какие виды вкладов бывают и как подобрать подходящий вариант.</w:t>
      </w:r>
    </w:p>
    <w:p w14:paraId="312181CF" w14:textId="77777777" w:rsidR="001D2C30" w:rsidRPr="0019113B" w:rsidRDefault="001D2C30" w:rsidP="001D2C30">
      <w:r w:rsidRPr="0019113B">
        <w:t>Конечно, первое, на что стоит обратить внимание — это процент по вкладу. Сейчас, в связи с высокой ключевой ставкой Центробанка, коммерческие банки предлагают довольно большую доходность, превышающую официальную инфляцию, — можно найти депозит и под 20 процентов годовых. Кстати, по открытым вкладам банки не могут в одностороннем порядке снижать процент до истечения срока хранения.</w:t>
      </w:r>
    </w:p>
    <w:p w14:paraId="6D7DBD29" w14:textId="77777777" w:rsidR="001D2C30" w:rsidRPr="0019113B" w:rsidRDefault="001D2C30" w:rsidP="001D2C30">
      <w:r w:rsidRPr="0019113B">
        <w:t>Счёт с сюрпризом</w:t>
      </w:r>
    </w:p>
    <w:p w14:paraId="0BCEBB5E" w14:textId="77777777" w:rsidR="001D2C30" w:rsidRPr="0019113B" w:rsidRDefault="001D2C30" w:rsidP="001D2C30">
      <w:r w:rsidRPr="0019113B">
        <w:t>Но повышенная доходность связана с соблюдением ряда других условий. Как правило, это относительно небольшой срок размещения — до 6 месяцев, ограниченная сумма вклада (например, не более 500 тысяч рублей, а то и меньше), запрет на частичное снятие и пополнение средств. То есть вы «запираете» свои деньги на определенный срок и ждете, когда он кончится, а если захотите снять часть суммы или весь вклад, то теряете проценты — вклад переходит в категорию «до востребования» со ставкой 0,01% годовых.</w:t>
      </w:r>
    </w:p>
    <w:p w14:paraId="14F6C72A" w14:textId="77777777" w:rsidR="001D2C30" w:rsidRPr="0019113B" w:rsidRDefault="001D2C30" w:rsidP="001D2C30">
      <w:r w:rsidRPr="0019113B">
        <w:t>Некоторые банки предлагают более гибкие условия высокодоходных вкладов, но с дополнительными обязательствами. Например, надо стать привилегированным («премиальным») клиентом банка, за что придется ежемесячно платить определенную сумму, или вступить в программу долгосрочных сбережений — о ней мы еще поговорим.</w:t>
      </w:r>
    </w:p>
    <w:p w14:paraId="5A434AB5" w14:textId="77777777" w:rsidR="001D2C30" w:rsidRPr="0019113B" w:rsidRDefault="001D2C30" w:rsidP="001D2C30">
      <w:r w:rsidRPr="0019113B">
        <w:t>Выбери свою линейку</w:t>
      </w:r>
    </w:p>
    <w:p w14:paraId="6295E149" w14:textId="77777777" w:rsidR="001D2C30" w:rsidRPr="0019113B" w:rsidRDefault="001D2C30" w:rsidP="001D2C30">
      <w:r w:rsidRPr="0019113B">
        <w:lastRenderedPageBreak/>
        <w:t>В связи с вышесказанным можно рассмотреть другие варианты депозитов с меньшей доходностью, но более удобными условиями размещения: большой срок (1-3 года), возможность частичного пополнения или снятия, более частое начисление процентов (например, не один раз в конце срока, а ежемесячно или ежеквартально).</w:t>
      </w:r>
    </w:p>
    <w:p w14:paraId="2AF09E10" w14:textId="77777777" w:rsidR="001D2C30" w:rsidRPr="0019113B" w:rsidRDefault="001D2C30" w:rsidP="001D2C30">
      <w:r w:rsidRPr="0019113B">
        <w:t>Поэтому при выборе банковского вклада необходимо учитывать в совокупности все его стороны: доходность, срок размещения, возможность пополнения или снятия, наличие дополнительных условий. Не стесняйтесь расспрашивать о них сотрудников банка, если вы решите оформить депозит в офисе. Открыть вклад также можно дистанционно через банковское приложение в телефоне, здесь лучше проконсультироваться с детьми или внуками.</w:t>
      </w:r>
    </w:p>
    <w:p w14:paraId="6BEC9EE8" w14:textId="77777777" w:rsidR="001D2C30" w:rsidRPr="0019113B" w:rsidRDefault="001D2C30" w:rsidP="001D2C30">
      <w:r w:rsidRPr="0019113B">
        <w:t>Сегодня банки предлагают широкий выбор линеек депозитов, и вы обязательно подберете вклад на свой вкус (включая доверие к банку, где хотите его открыть).</w:t>
      </w:r>
    </w:p>
    <w:p w14:paraId="6F9914FA" w14:textId="77777777" w:rsidR="001D2C30" w:rsidRPr="0019113B" w:rsidRDefault="001D2C30" w:rsidP="001D2C30">
      <w:r w:rsidRPr="0019113B">
        <w:t>Накопительный счёт</w:t>
      </w:r>
    </w:p>
    <w:p w14:paraId="5EC6ADD5" w14:textId="77777777" w:rsidR="001D2C30" w:rsidRPr="0019113B" w:rsidRDefault="001D2C30" w:rsidP="001D2C30">
      <w:r w:rsidRPr="0019113B">
        <w:t xml:space="preserve">Есть и еще одна возможность размещения свободных денег — положить их не на срочный вклад, а на накопительный счет. От депозита он отличается тем, что средства на нем размещаются на неопределенный срок. На него можно положить любую сумму, снимать и пополнять неограниченное число раз без потери процентов. </w:t>
      </w:r>
    </w:p>
    <w:p w14:paraId="0707BDB1" w14:textId="77777777" w:rsidR="001D2C30" w:rsidRPr="0019113B" w:rsidRDefault="001D2C30" w:rsidP="001D2C30">
      <w:r w:rsidRPr="0019113B">
        <w:t>Накопительный счет удобен тем, кто регулярно совершает покупки по банковской карте, поскольку на таком счете можно постоянно держать «заначку» и переводить с нее на основной счет (карту) в нужный момент конкретные суммы (скажем, при покупке продуктов в магазине) и, наоборот, пополнять его с той же карты, когда, например, на нее придет пенсия или соцвыплаты. Удобнее всего пользоваться накопительным счетом посредством мобильного банковского приложения, установленного в телефоне.</w:t>
      </w:r>
    </w:p>
    <w:p w14:paraId="4F04E5B3" w14:textId="77777777" w:rsidR="001D2C30" w:rsidRPr="0019113B" w:rsidRDefault="001D2C30" w:rsidP="001D2C30">
      <w:r w:rsidRPr="0019113B">
        <w:t>Главные минусы накопительных счетов — низкая доходность (сейчас у разных банков она составляет 5-10% годовых) и начисление процентов на минимальный суточный остаток в календарном месяце. Например, если у вас на накопительном счете в начале месяца лежало 100 тысяч рублей и в какой-то из дней осталось 5 тысяч, то даже если вы потом в том же месяце пополните счет до тех же 100 тысяч или больше, проценты вам начислят только на эти 5 тысяч.</w:t>
      </w:r>
    </w:p>
    <w:p w14:paraId="09ECD8ED" w14:textId="77777777" w:rsidR="001D2C30" w:rsidRPr="0019113B" w:rsidRDefault="001D2C30" w:rsidP="001D2C30">
      <w:r w:rsidRPr="0019113B">
        <w:t>ПДС</w:t>
      </w:r>
    </w:p>
    <w:p w14:paraId="5E4AA7DB" w14:textId="77777777" w:rsidR="001D2C30" w:rsidRPr="0019113B" w:rsidRDefault="001D2C30" w:rsidP="001D2C30">
      <w:r w:rsidRPr="0019113B">
        <w:t>Рассмотрим еще один интересный и свежий вариант — программу долгосрочных сбережений (ПДС), введенную в действие в прошлом году. Она главным образом предназначена тем, кто хочет копить на свою старость, поэтому срок вложений составляет 15 лет или до достижения женщиной 55 лет, а мужчиной — 60. Но пенсионеры, поскольку уже перешли эту возрастную черту, могут получить свои деньги с хорошей прибавкой уже через год.</w:t>
      </w:r>
    </w:p>
    <w:p w14:paraId="71165964" w14:textId="77777777" w:rsidR="001D2C30" w:rsidRPr="0019113B" w:rsidRDefault="001D2C30" w:rsidP="001D2C30">
      <w:r w:rsidRPr="0019113B">
        <w:t>Суть программы в том, что вы через негосударственный пенсионный фонд (НПФ) кладете на накопительный счет свои сбережения. НПФ будет инвестировать их в надежные финансовые инструменты (акции, облигации и т.д.), которые принесут вам дополнительный доход. Счет можно пополнять в любое время и на любую сумму, только снимать нельзя. Но это еще не всё.</w:t>
      </w:r>
    </w:p>
    <w:p w14:paraId="0170538F" w14:textId="77777777" w:rsidR="001D2C30" w:rsidRPr="0019113B" w:rsidRDefault="001D2C30" w:rsidP="001D2C30">
      <w:r w:rsidRPr="0019113B">
        <w:t xml:space="preserve">Во-первых, ваши деньги до 2,8 млн рублей застрахованы государством, это вдвое больше, чем банковские вклады. Во-вторых, государство на условиях софинансирования </w:t>
      </w:r>
      <w:r w:rsidRPr="0019113B">
        <w:lastRenderedPageBreak/>
        <w:t>пополнит ваш счет на сумму ваших взносов, но не более 36 тысяч рублей в год. То есть чтобы получить эти деньги, вам надо в течение года внести на свой счет не меньше 36 тысяч. А это уже серьезная прибавка.</w:t>
      </w:r>
    </w:p>
    <w:p w14:paraId="4D423CBC" w14:textId="77777777" w:rsidR="001D2C30" w:rsidRPr="0019113B" w:rsidRDefault="001D2C30" w:rsidP="001D2C30">
      <w:r w:rsidRPr="0019113B">
        <w:t>Банкам и не снилось</w:t>
      </w:r>
    </w:p>
    <w:p w14:paraId="0120E373" w14:textId="77777777" w:rsidR="001D2C30" w:rsidRPr="0019113B" w:rsidRDefault="001D2C30" w:rsidP="001D2C30">
      <w:r w:rsidRPr="0019113B">
        <w:t>На сайте моифинансы.рф есть калькулятор накоплений по программе долгосрочных сбережений. Мы ввели в него возраст вкладчика - 60 лет,  предполагаемую сумму взносов в размере 100 тысяч рублей, и калькулятор рассчитал, что через год можно получить на руки более 143 тысяч рублей: свои 100 тысяч плюс 36 тысяч от государства плюс инвестиционный доход в 7 с лишним тысяч. Но даже и без последнего доходность по нашему счету получилась 36% годовых — никакому банку и не снилось.</w:t>
      </w:r>
    </w:p>
    <w:p w14:paraId="65C267F9" w14:textId="77777777" w:rsidR="001D2C30" w:rsidRPr="0019113B" w:rsidRDefault="001D2C30" w:rsidP="001D2C30">
      <w:r w:rsidRPr="0019113B">
        <w:t>Кстати, деньги можно снять и до истечения срока их хранения, но лишь в исключительных случаях, в частности, для решения серьезных проблем со здоровьем: инсульт, инфаркт миокарда, заболевания нервной системы (например, рассеянный склероз), различные онкозаболевания (всего 18 болезней).</w:t>
      </w:r>
    </w:p>
    <w:p w14:paraId="6E1BBA4F" w14:textId="77777777" w:rsidR="001D2C30" w:rsidRPr="0019113B" w:rsidRDefault="001D2C30" w:rsidP="001D2C30">
      <w:r w:rsidRPr="0019113B">
        <w:t>Тем, кто заинтересовался ПДС, настоятельно советуем предварительно узнать как можно больше подробностей об условиях программы для пенсионеров у сотрудников НПФ или банка (такие НПФ есть у каждого крупного банка): имеется ряд нюансов, связанных с порядком вступления в программу, внесения взносов, условий софинансирования и так далее.</w:t>
      </w:r>
    </w:p>
    <w:p w14:paraId="38C761DC" w14:textId="77777777" w:rsidR="001D2C30" w:rsidRPr="0019113B" w:rsidRDefault="001D2C30" w:rsidP="001D2C30">
      <w:hyperlink r:id="rId23" w:history="1">
        <w:r w:rsidRPr="0019113B">
          <w:rPr>
            <w:rStyle w:val="a3"/>
          </w:rPr>
          <w:t>https://kaspyinfo.ru/news/gorod/107235</w:t>
        </w:r>
      </w:hyperlink>
      <w:r w:rsidRPr="0019113B">
        <w:t xml:space="preserve"> </w:t>
      </w:r>
    </w:p>
    <w:p w14:paraId="540203D2" w14:textId="77777777" w:rsidR="001D2C30" w:rsidRPr="0019113B" w:rsidRDefault="001D2C30" w:rsidP="001D2C30">
      <w:pPr>
        <w:pStyle w:val="2"/>
      </w:pPr>
      <w:bookmarkStart w:id="72" w:name="_Toc201901921"/>
      <w:r w:rsidRPr="0019113B">
        <w:t>НИА Самара, 26.06.2025, «Финансовый десант» высадился на самарском предприятии</w:t>
      </w:r>
      <w:bookmarkEnd w:id="72"/>
    </w:p>
    <w:p w14:paraId="6C597364" w14:textId="77777777" w:rsidR="001D2C30" w:rsidRPr="0019113B" w:rsidRDefault="001D2C30" w:rsidP="0097376F">
      <w:pPr>
        <w:pStyle w:val="3"/>
      </w:pPr>
      <w:bookmarkStart w:id="73" w:name="_Toc201901922"/>
      <w:r w:rsidRPr="0019113B">
        <w:t>Первая в этом году региональная межведомственная лекция «Финансовый десант» состоялась на Самарском инновационном предприятии радиосистем. Событие организовано в рамках Всероссийской Эстафеты «Мои финансы» и Плана мероприятий, направленных на повышение финансовой грамотности и финансовой культуры населения Самарской области в 2025 году. Эксперты ответили на актуальные вопросы в сфере финансовой и налоговой грамотности.</w:t>
      </w:r>
      <w:bookmarkEnd w:id="73"/>
    </w:p>
    <w:p w14:paraId="3EACB6F1" w14:textId="77777777" w:rsidR="001D2C30" w:rsidRPr="0019113B" w:rsidRDefault="001D2C30" w:rsidP="001D2C30">
      <w:r w:rsidRPr="0019113B">
        <w:t>Как накопить средства для долгосрочных целей, например, для будущей пенсии или особых жизненных ситуаций, рассказала главный консультант управления государственного долга и финансовых рынков министерства финансов Самарской области Елена Ладыженко. «Финансовая грамотность напрямую влияет на производительность труда сотрудников предприятий», — отметила Ладыженко и презентовала Программу долгосрочных сбережений.</w:t>
      </w:r>
    </w:p>
    <w:p w14:paraId="02F31FE2" w14:textId="77777777" w:rsidR="001D2C30" w:rsidRPr="0019113B" w:rsidRDefault="001D2C30" w:rsidP="001D2C30">
      <w:r w:rsidRPr="0019113B">
        <w:t>Напомним, что Программа долгосрочных сбережений — это добровольный накопительно-сберегательный продукт с участием государства. Участник заключает договор с негосударственным пенсионным фондом (НПФ) и делает добровольные взносы. Государство софинансирует эти взносы, то есть вкладывает дополнительные деньги. НПФ инвестирует средства, обеспечивая доходность вложений.</w:t>
      </w:r>
    </w:p>
    <w:p w14:paraId="441ADCE5" w14:textId="77777777" w:rsidR="001D2C30" w:rsidRPr="0019113B" w:rsidRDefault="001D2C30" w:rsidP="001D2C30">
      <w:r w:rsidRPr="0019113B">
        <w:t xml:space="preserve">Представитель региональной налоговой службы рассказала о преимуществах электронного сервиса ФНС России «Личный кабинет налогоплательщика для </w:t>
      </w:r>
      <w:r w:rsidRPr="0019113B">
        <w:lastRenderedPageBreak/>
        <w:t>физических лиц». Главный государственный налоговый инспектор отдела работы с налогоплательщиками УФНС России по Самарской области Татьяна Папухина подробно остановилась на способах подключения к сервису и оплаты имущественных налогов. Также она разъяснила возможность оплаты налогов за своих несовершеннолетних детей, если они являются собственниками имущества, через опцию «семейный доступ» в своем «личном кабинете».</w:t>
      </w:r>
    </w:p>
    <w:p w14:paraId="55991515" w14:textId="77777777" w:rsidR="001D2C30" w:rsidRPr="0019113B" w:rsidRDefault="001D2C30" w:rsidP="001D2C30">
      <w:r w:rsidRPr="0019113B">
        <w:t>Еще участники встречи узнали о программе «Семейная ипотека» по льготной ставке благодаря мерам господдержки от эксперта Банка НОВИКОМ. «На данной встрече мы рассказали о прозрачных и понятных условиях «Семейной ипотеки» без «подводных камней» и комбинированных ставок», – подчеркнул Игорь Егоров, управляющий офисом НОВИКОМа в Самаре.</w:t>
      </w:r>
    </w:p>
    <w:p w14:paraId="6CCAB9F1" w14:textId="77777777" w:rsidR="001D2C30" w:rsidRPr="0019113B" w:rsidRDefault="001D2C30" w:rsidP="001D2C30">
      <w:r w:rsidRPr="0019113B">
        <w:t>«Мы передовое и динамичное предприятие, потому все новшества всегда приветствуем и благодарим за полученные знания», – поделились впечатлениями работники предприятия.</w:t>
      </w:r>
    </w:p>
    <w:p w14:paraId="384C414C" w14:textId="77777777" w:rsidR="00E82515" w:rsidRPr="0019113B" w:rsidRDefault="001D2C30" w:rsidP="001D2C30">
      <w:hyperlink r:id="rId24" w:history="1">
        <w:r w:rsidRPr="0019113B">
          <w:rPr>
            <w:rStyle w:val="a3"/>
          </w:rPr>
          <w:t>https://www.niasam.ru/ekonomika/finansovyj-desant-vysadilsya-na-samarskom-predpriyatii-256185.html</w:t>
        </w:r>
      </w:hyperlink>
    </w:p>
    <w:p w14:paraId="6071C611" w14:textId="77777777" w:rsidR="001D2C30" w:rsidRPr="0019113B" w:rsidRDefault="001D2C30" w:rsidP="001D2C30"/>
    <w:p w14:paraId="07C862A1" w14:textId="77777777" w:rsidR="00111D7C" w:rsidRPr="0019113B" w:rsidRDefault="00111D7C" w:rsidP="00111D7C">
      <w:pPr>
        <w:pStyle w:val="10"/>
      </w:pPr>
      <w:bookmarkStart w:id="74" w:name="_Toc165991074"/>
      <w:bookmarkStart w:id="75" w:name="_Toc201901923"/>
      <w:r w:rsidRPr="0019113B">
        <w:t>Новости развития системы обязательного пенсионного страхования и страховой пенсии</w:t>
      </w:r>
      <w:bookmarkEnd w:id="40"/>
      <w:bookmarkEnd w:id="41"/>
      <w:bookmarkEnd w:id="42"/>
      <w:bookmarkEnd w:id="74"/>
      <w:bookmarkEnd w:id="75"/>
    </w:p>
    <w:p w14:paraId="2D7C75E8" w14:textId="77777777" w:rsidR="00E82515" w:rsidRPr="0019113B" w:rsidRDefault="00E82515" w:rsidP="00E82515">
      <w:pPr>
        <w:pStyle w:val="2"/>
      </w:pPr>
      <w:bookmarkStart w:id="76" w:name="a7"/>
      <w:bookmarkStart w:id="77" w:name="_Toc201901924"/>
      <w:bookmarkEnd w:id="76"/>
      <w:r w:rsidRPr="0019113B">
        <w:t>Парламентская газета, 26.06.2025, Некоторым россиянкам пересчитают пенсии с 2026 года</w:t>
      </w:r>
      <w:bookmarkEnd w:id="77"/>
    </w:p>
    <w:p w14:paraId="1AC420B2" w14:textId="77777777" w:rsidR="00E82515" w:rsidRPr="0019113B" w:rsidRDefault="00E82515" w:rsidP="0097376F">
      <w:pPr>
        <w:pStyle w:val="3"/>
      </w:pPr>
      <w:bookmarkStart w:id="78" w:name="_Toc201901925"/>
      <w:r w:rsidRPr="0019113B">
        <w:t>Страховой стаж с учетом всех детей пересчитают почти 400 тысячам россиянок, сообщил председатель Социального фонда Сергей Чирков в интервью СМИ. Это увеличит пенсионные выплаты матерям, имеющим пять и более детей. Нововведения коснутся и тех, кто уже вышел на пенсию. «Парламентская газета» — с подробностями.</w:t>
      </w:r>
      <w:bookmarkEnd w:id="78"/>
    </w:p>
    <w:p w14:paraId="71271737" w14:textId="77777777" w:rsidR="00E82515" w:rsidRPr="0019113B" w:rsidRDefault="00E82515" w:rsidP="00E82515">
      <w:r w:rsidRPr="0019113B">
        <w:t>Ограничения снимут</w:t>
      </w:r>
    </w:p>
    <w:p w14:paraId="03B28EEC" w14:textId="77777777" w:rsidR="00E82515" w:rsidRPr="0019113B" w:rsidRDefault="00E82515" w:rsidP="00E82515">
      <w:r w:rsidRPr="0019113B">
        <w:t>Сейчас в страховой стаж включают период ухода за ребенком до полутора лет. При этом есть ограничение — суммарно это время не может превышать шести лет. То есть в стаж засчитывают уход лишь за четырьмя детьми.</w:t>
      </w:r>
    </w:p>
    <w:p w14:paraId="7421A39C" w14:textId="77777777" w:rsidR="00E82515" w:rsidRPr="0019113B" w:rsidRDefault="00E82515" w:rsidP="00E82515">
      <w:r w:rsidRPr="0019113B">
        <w:t>В январе президент Владимир Путин по итогам заседания Госсовета, состоявшегося в декабре 2024 года, дал поручение снять ограничение и учитывать в страховом стаже все периоды отпуска по уходу за ребенком. Соответствующий законопроект разработал Минтруд. После вступления его в силу многодетные родители смогут обратиться в Социальный фонд за пересчетом страховой пенсии.</w:t>
      </w:r>
    </w:p>
    <w:p w14:paraId="498E9A7F" w14:textId="77777777" w:rsidR="00E82515" w:rsidRPr="0019113B" w:rsidRDefault="00E82515" w:rsidP="00E82515">
      <w:r w:rsidRPr="0019113B">
        <w:t>«По нашим предварительным оценкам, в Российской Федерации проживают порядка 400 тысяч женщин, чьи дети ранее не учитывались при расчете пенсии. И сейчас как раз готовим документы, материалы для перерасчета», — сообщил председатель Социального фонда Сергей Чирков ТАСС.</w:t>
      </w:r>
    </w:p>
    <w:p w14:paraId="7EC9D9AB" w14:textId="77777777" w:rsidR="00E82515" w:rsidRPr="0019113B" w:rsidRDefault="00E82515" w:rsidP="00E82515">
      <w:r w:rsidRPr="0019113B">
        <w:lastRenderedPageBreak/>
        <w:t>Важно, что не только период ухода за всеми детьми будут включать в стаж, но и начислять за него пенсионные баллы. Так, за год стажа, если у женщины трое детей, ей дадут 5,4 коэффициента за третьего ребенка, отметил глава Соцфонда.</w:t>
      </w:r>
    </w:p>
    <w:p w14:paraId="20B065AA" w14:textId="77777777" w:rsidR="00E82515" w:rsidRPr="0019113B" w:rsidRDefault="00E82515" w:rsidP="00E82515">
      <w:r w:rsidRPr="0019113B">
        <w:t>«Это довольно высокий показатель, сравнимый с сотрудником, у которого зарплата 120 тысяч рублей», — прокомментировал он.</w:t>
      </w:r>
    </w:p>
    <w:p w14:paraId="2A38FE01" w14:textId="77777777" w:rsidR="00E82515" w:rsidRPr="0019113B" w:rsidRDefault="00E82515" w:rsidP="00E82515">
      <w:r w:rsidRPr="0019113B">
        <w:t>Нововведения затронут и тех, кто уже вышел на пенсию.</w:t>
      </w:r>
    </w:p>
    <w:p w14:paraId="67753EA2" w14:textId="77777777" w:rsidR="00E82515" w:rsidRPr="0019113B" w:rsidRDefault="00E82515" w:rsidP="00E82515">
      <w:r w:rsidRPr="0019113B">
        <w:t>Заложили в бюджет</w:t>
      </w:r>
    </w:p>
    <w:p w14:paraId="17F0B7A1" w14:textId="77777777" w:rsidR="00E82515" w:rsidRPr="0019113B" w:rsidRDefault="00E82515" w:rsidP="00E82515">
      <w:r w:rsidRPr="0019113B">
        <w:t>Сейчас законопроект, разработанный Минтрудом, проходит согласование. Ожидается, что его окончательно примут в 2026 году.</w:t>
      </w:r>
    </w:p>
    <w:p w14:paraId="08C148C0" w14:textId="77777777" w:rsidR="00E82515" w:rsidRPr="0019113B" w:rsidRDefault="00E82515" w:rsidP="00E82515">
      <w:r w:rsidRPr="0019113B">
        <w:t>«В бюджете на 2026 год, который мы сейчас проектируем, заложены все деньги. Когда законопроект примут, все выплаты будут обеспечены однозначно. Мы можем проследить, как растет важность наличия детей у женщин в глазах государства. В 2002 году в стаж засчитывали уход за двумя детьми, в 2013 году стали включать три ребенка, а в 2015 году — уже четыре ребенка. Теперь принято решение убрать все ограничения по числу детей», — прокомментировал Чирков.</w:t>
      </w:r>
    </w:p>
    <w:p w14:paraId="7A109622" w14:textId="77777777" w:rsidR="00E82515" w:rsidRPr="0019113B" w:rsidRDefault="00E82515" w:rsidP="00E82515">
      <w:r w:rsidRPr="0019113B">
        <w:t>Снятие ограничения на учет нестрахового стажа даст возможность многодетным женщинам заработать больше баллов за нестраховой период, пояснила «Парламентской газете» член Комитета Госдумы по труду, социальной политике и делам ветеранов Светлана Бессараб. И эти баллы достаточно высокие, отметила она.</w:t>
      </w:r>
    </w:p>
    <w:p w14:paraId="695C92E1" w14:textId="77777777" w:rsidR="00E82515" w:rsidRPr="0019113B" w:rsidRDefault="00E82515" w:rsidP="00E82515">
      <w:r w:rsidRPr="0019113B">
        <w:t>Например, среднестатистический россиянин с зарплатой в 100 тысяч рублей может заработать в пределах 4 баллов, а многодетная мать, если закон примут, — 5,4 балла за каждый год ухода за третьим и последующими детьми, рассказала депутат.</w:t>
      </w:r>
    </w:p>
    <w:p w14:paraId="1F7BBDBF" w14:textId="77777777" w:rsidR="00E82515" w:rsidRPr="0019113B" w:rsidRDefault="00E82515" w:rsidP="00E82515">
      <w:r w:rsidRPr="0019113B">
        <w:t>«Это говорит о том, что государство достаточно высоко ценит труд матери, особенно матери многодетной», — подчеркнула Бессараб.</w:t>
      </w:r>
    </w:p>
    <w:p w14:paraId="692B1376" w14:textId="77777777" w:rsidR="00E82515" w:rsidRPr="0019113B" w:rsidRDefault="00E82515" w:rsidP="00E82515">
      <w:r w:rsidRPr="0019113B">
        <w:t>Она также сказала, что этот законопроект важен и социально значим: «Мы сделаем, со своей стороны, все возможное, чтобы быстрее его принять».</w:t>
      </w:r>
    </w:p>
    <w:p w14:paraId="34969638" w14:textId="77777777" w:rsidR="00E82515" w:rsidRPr="0019113B" w:rsidRDefault="00E82515" w:rsidP="00E82515">
      <w:r w:rsidRPr="0019113B">
        <w:t>Пенсионная реформа</w:t>
      </w:r>
    </w:p>
    <w:p w14:paraId="100DC1F5" w14:textId="77777777" w:rsidR="00E82515" w:rsidRPr="0019113B" w:rsidRDefault="00E82515" w:rsidP="00E82515">
      <w:r w:rsidRPr="0019113B">
        <w:t>В России в 2019 году стартовала пенсионная реформа, согласно которой постепенно повышается возраст выхода на пенсию: с 55 до 60 лет для женщин и с 60 до 65 лет для мужчин. Она завершится в 2028 году, когда все, за исключением льготников, должны будут достигнуть соответствующего возраста.</w:t>
      </w:r>
    </w:p>
    <w:p w14:paraId="7AD67EC9" w14:textId="77777777" w:rsidR="00E82515" w:rsidRPr="0019113B" w:rsidRDefault="00E82515" w:rsidP="00E82515">
      <w:r w:rsidRPr="0019113B">
        <w:t>В первые несколько лет переходного периода пенсия назначалась на полгода раньше нового пенсионного возраста. В связи с завершением срока действия этой льготы в 2025 году по общим основаниям пенсионером никто не станет. Аналогичная ситуация была в 2023 году и ожидается в 2027 году.</w:t>
      </w:r>
    </w:p>
    <w:p w14:paraId="11CADA5C" w14:textId="77777777" w:rsidR="00E82515" w:rsidRPr="0019113B" w:rsidRDefault="00E82515" w:rsidP="00E82515">
      <w:r w:rsidRPr="0019113B">
        <w:t>В 2026 году на заслуженный отдых смогут уйти женщины 1967 года рождения и мужчины 1962 года, когда им исполнится 59 и 64 года соответственно.</w:t>
      </w:r>
    </w:p>
    <w:p w14:paraId="2E27C048" w14:textId="77777777" w:rsidR="00E82515" w:rsidRPr="0019113B" w:rsidRDefault="00E82515" w:rsidP="00E82515">
      <w:r w:rsidRPr="0019113B">
        <w:t>В следующем году досрочно выйти на пенсию смогут некоторые категории граждан: имеющие продолжительный трудовой стаж, матери с тремя и более детьми, трудящиеся на вредных и опасных производствах, жители Крайнего Севера, безработные предпенсионного возраста, работники сферы культуры, образования и здравоохранения.</w:t>
      </w:r>
    </w:p>
    <w:p w14:paraId="46086139" w14:textId="77777777" w:rsidR="00E82515" w:rsidRDefault="00E82515" w:rsidP="00E82515">
      <w:hyperlink r:id="rId25" w:history="1">
        <w:r w:rsidRPr="0019113B">
          <w:rPr>
            <w:rStyle w:val="a3"/>
          </w:rPr>
          <w:t>https://www.pnp.ru/economics/nekotorym-rossiyankam-pereschitayut-pensii-s-2026-goda.html</w:t>
        </w:r>
      </w:hyperlink>
      <w:r w:rsidRPr="0019113B">
        <w:t xml:space="preserve"> </w:t>
      </w:r>
    </w:p>
    <w:p w14:paraId="4A86A418" w14:textId="77777777" w:rsidR="007F0F42" w:rsidRDefault="007F0F42" w:rsidP="007F0F42">
      <w:pPr>
        <w:pStyle w:val="2"/>
      </w:pPr>
      <w:bookmarkStart w:id="79" w:name="_Toc201901926"/>
      <w:r>
        <w:t>Парламентская газета, 27.06.2025</w:t>
      </w:r>
      <w:r w:rsidRPr="007F0F42">
        <w:t xml:space="preserve">, </w:t>
      </w:r>
      <w:r>
        <w:t>Женщинам с пятью и более детьми увеличат пенсию</w:t>
      </w:r>
      <w:bookmarkEnd w:id="79"/>
    </w:p>
    <w:p w14:paraId="2A520523" w14:textId="77777777" w:rsidR="007F0F42" w:rsidRDefault="007F0F42" w:rsidP="00645A59">
      <w:pPr>
        <w:pStyle w:val="3"/>
      </w:pPr>
      <w:bookmarkStart w:id="80" w:name="_Toc201901927"/>
      <w:r>
        <w:t>Страховой стаж с учетом всех детей пересчитают почти 400 тысячам россиянок, сообщил председатель Социального фонда Сергей Чирков в интервью СМИ.</w:t>
      </w:r>
      <w:bookmarkEnd w:id="80"/>
    </w:p>
    <w:p w14:paraId="279BD014" w14:textId="77777777" w:rsidR="007F0F42" w:rsidRDefault="007F0F42" w:rsidP="007F0F42">
      <w:r>
        <w:t>Сегодня в страховой стаж включен и нестраховой период, когда работодатель не платит страховые взносы, но он входит в страховой стаж для начисления пенсии, за исключением досрочной пенсии, пояснила "Парламентской газете" член Комитета Госдумы по труду, социальной политике и делам ветеранов Светлана Бессараб. Это, например, период ухода за ребенком в возрасте до полутора лет.</w:t>
      </w:r>
    </w:p>
    <w:p w14:paraId="1F8A6A3B" w14:textId="77777777" w:rsidR="007F0F42" w:rsidRDefault="007F0F42" w:rsidP="007F0F42">
      <w:r>
        <w:t>Но есть ограничение - суммарно это время не может превышать шести лет. То есть в стаж засчитывают уход лишь за четырьмя детьми. "Президент поручил убрать эту границу, и теперь многодетные мамы имеют возможность засчитывать себе индивидуальные пенсионные коэффициенты за период ухода за ребенком. И они достаточно высокие. Это говорит о том, что государство высоко ценит труд матери, особенно матери многодетной", - подчеркнула Бессараб.</w:t>
      </w:r>
    </w:p>
    <w:p w14:paraId="1C1A208B" w14:textId="77777777" w:rsidR="007F0F42" w:rsidRDefault="007F0F42" w:rsidP="007F0F42">
      <w:r>
        <w:t>Соответствующий законопроект разработал Минтруд, и после его принятия многодетные родители смогут обратиться в Социальный фонд за пересчетом страховой пенсии. По предварительным оценкам, это коснется порядка 400 тысяч женщин, чьи дети ранее не учитывались при расчете пенсии, заявил ТАСС глава Социального фонда Сергей Чирков.</w:t>
      </w:r>
    </w:p>
    <w:p w14:paraId="315F366F" w14:textId="77777777" w:rsidR="007F0F42" w:rsidRDefault="007F0F42" w:rsidP="007F0F42">
      <w:r>
        <w:t>Ожидается, что закон вступит в силу в 2026 году. Светлана Бессараб сказала, что депутаты сделают все возможное, чтобы быстрее принять этот социально значимый документ.</w:t>
      </w:r>
    </w:p>
    <w:p w14:paraId="2CB8142C" w14:textId="77777777" w:rsidR="007F0F42" w:rsidRDefault="007F0F42" w:rsidP="007F0F42">
      <w:r>
        <w:t>Элеонора Рылова</w:t>
      </w:r>
    </w:p>
    <w:p w14:paraId="2CEA9947" w14:textId="77777777" w:rsidR="00645A59" w:rsidRDefault="00645A59" w:rsidP="00645A59">
      <w:pPr>
        <w:pStyle w:val="2"/>
      </w:pPr>
      <w:bookmarkStart w:id="81" w:name="_Toc201901928"/>
      <w:r>
        <w:t>Парламентская газета, 27.06.2025</w:t>
      </w:r>
      <w:r w:rsidRPr="00645A59">
        <w:t xml:space="preserve">, </w:t>
      </w:r>
      <w:r>
        <w:t>В России может появиться новый вид социальной пенсии</w:t>
      </w:r>
      <w:bookmarkEnd w:id="81"/>
    </w:p>
    <w:p w14:paraId="3F070299" w14:textId="77777777" w:rsidR="00645A59" w:rsidRDefault="00645A59" w:rsidP="00645A59">
      <w:pPr>
        <w:pStyle w:val="3"/>
      </w:pPr>
      <w:bookmarkStart w:id="82" w:name="_Toc201901929"/>
      <w:r>
        <w:t>В Госдуме активно обсуждают изменения в федеральный закон, которые должны определить новый вид социальной пенсии - выплаты детям, рожденным по истечении трехсот дней со дня смерти человека, отцовство которого установлено в судебном порядке. Внести коррективы сенаторы предложили после прецедентного решения Конституционного суда о назначении соцподдержки ребенку, зачатому с помощью вспомогательных репродуктивных технологий. Комитет Госдумы по защите семьи, вопросам отцовства, материнства и детства перенес рассмотрение законопроекта на неделю, попросив себе время для дополнительных консультаций.</w:t>
      </w:r>
      <w:bookmarkEnd w:id="82"/>
    </w:p>
    <w:p w14:paraId="0AFB7E34" w14:textId="77777777" w:rsidR="00645A59" w:rsidRDefault="00645A59" w:rsidP="00645A59">
      <w:r>
        <w:t xml:space="preserve">В свою очередь, председатель Комитета Госдумы по труду, социальной политике и делам ветеранов Ярослав Нилов после обсуждения документа на заседании комитета 25 </w:t>
      </w:r>
      <w:r>
        <w:lastRenderedPageBreak/>
        <w:t>июня в беседе с "Парламентской газетой" отметил, что законопроект вызывает в обществе определенные недопонимания и рассуждения, но прецеденты уже есть.</w:t>
      </w:r>
    </w:p>
    <w:p w14:paraId="6D254377" w14:textId="77777777" w:rsidR="00645A59" w:rsidRDefault="00645A59" w:rsidP="00645A59">
      <w:r>
        <w:t>"Это жизненная ситуация, которая складывается из самых разных обстоятельств, - сказал он. - В том числе вопросов, связанных с репродуктивным здоровьем женщины, отсутствием мужчины. Тема очень чувствительная, деликатная. Считаю, что вот эти рассуждения ничего хорошего не приносят. Eсть факты, есть жизнь, есть решение Конституционного суда. Вот в этой парадигме нужно рассматривать".</w:t>
      </w:r>
    </w:p>
    <w:p w14:paraId="499A1D5F" w14:textId="77777777" w:rsidR="00645A59" w:rsidRPr="0019113B" w:rsidRDefault="00645A59" w:rsidP="00645A59">
      <w:r>
        <w:t>Татьяна Шишкина</w:t>
      </w:r>
    </w:p>
    <w:p w14:paraId="3865AA24" w14:textId="77777777" w:rsidR="006A79EB" w:rsidRPr="0019113B" w:rsidRDefault="006A79EB" w:rsidP="006A79EB">
      <w:pPr>
        <w:pStyle w:val="2"/>
      </w:pPr>
      <w:bookmarkStart w:id="83" w:name="_Toc201901930"/>
      <w:r w:rsidRPr="0019113B">
        <w:t>RT, 26.06.2025, Сенатор Епифанова назвала категории россиян, которым повысят пенсию в июле</w:t>
      </w:r>
      <w:bookmarkEnd w:id="83"/>
    </w:p>
    <w:p w14:paraId="2F3CFEBF" w14:textId="77777777" w:rsidR="006A79EB" w:rsidRPr="0019113B" w:rsidRDefault="006A79EB" w:rsidP="0097376F">
      <w:pPr>
        <w:pStyle w:val="3"/>
      </w:pPr>
      <w:bookmarkStart w:id="84" w:name="_Toc201901931"/>
      <w:r w:rsidRPr="0019113B">
        <w:t>Пенсионерам, которым в июне исполнилось 80 лет, в июле автоматически удвоят фиксированную часть страховой пенсии - с 8907,70 до 17 815,40 рубля, рассказала в беседе с RT сенатор Ольга Епифанова.</w:t>
      </w:r>
      <w:bookmarkEnd w:id="84"/>
    </w:p>
    <w:p w14:paraId="5205ACCB" w14:textId="77777777" w:rsidR="006A79EB" w:rsidRPr="0019113B" w:rsidRDefault="006A79EB" w:rsidP="006A79EB">
      <w:r w:rsidRPr="0019113B">
        <w:t>«Эта прибавка касается только страховой пенсии по старости и не требует подачи заявлений. К тому же пенсионерам с оформленным уходом добавят 1314 рублей, а за иждивенцев положены выплаты от 11 876 до 17 815 рублей в зависимости от их числа, с учётом районных коэффициентов в северных регионах», - добавила она.</w:t>
      </w:r>
    </w:p>
    <w:p w14:paraId="3EC2C58F" w14:textId="77777777" w:rsidR="006A79EB" w:rsidRPr="0019113B" w:rsidRDefault="006A79EB" w:rsidP="006A79EB">
      <w:r w:rsidRPr="0019113B">
        <w:t>Отмечается, что пенсионеры, прекратившие работу в июне 2025 года, получат перерасчёт накопительной части пенсии с учётом пропущенных индексаций.</w:t>
      </w:r>
    </w:p>
    <w:p w14:paraId="5121C24F" w14:textId="77777777" w:rsidR="006A79EB" w:rsidRPr="0019113B" w:rsidRDefault="006A79EB" w:rsidP="006A79EB">
      <w:r w:rsidRPr="0019113B">
        <w:t>«Все изменения вступают в силу автоматически через Социальный фонд России», - заключила парламентарий.</w:t>
      </w:r>
    </w:p>
    <w:p w14:paraId="172835DB" w14:textId="77777777" w:rsidR="006A79EB" w:rsidRPr="0019113B" w:rsidRDefault="006A79EB" w:rsidP="006A79EB">
      <w:r w:rsidRPr="0019113B">
        <w:t>Ранее в Госдуме объяснили, как правильно формировать пенсионные баллы.</w:t>
      </w:r>
    </w:p>
    <w:p w14:paraId="7CA6CE46" w14:textId="77777777" w:rsidR="006A79EB" w:rsidRPr="0019113B" w:rsidRDefault="006A79EB" w:rsidP="006A79EB">
      <w:hyperlink r:id="rId26" w:history="1">
        <w:r w:rsidRPr="0019113B">
          <w:rPr>
            <w:rStyle w:val="a3"/>
          </w:rPr>
          <w:t>https://russian.rt.com/russia/news/1498214-senator-epifanova-pensii-pribavka?utm_source=rss&amp;utm_medium=rss&amp;utm_campaign=RSS</w:t>
        </w:r>
      </w:hyperlink>
      <w:r w:rsidRPr="0019113B">
        <w:t xml:space="preserve"> </w:t>
      </w:r>
    </w:p>
    <w:p w14:paraId="26444AB8" w14:textId="77777777" w:rsidR="00D9250A" w:rsidRPr="0019113B" w:rsidRDefault="00D9250A" w:rsidP="00D9250A">
      <w:pPr>
        <w:pStyle w:val="2"/>
      </w:pPr>
      <w:bookmarkStart w:id="85" w:name="_Toc201901932"/>
      <w:r w:rsidRPr="0019113B">
        <w:t>ТАСС, 26.06.2025, Соцфонд: с 1 июля 700 тыс. человек со стажем на украине смогут увеличить пенсии</w:t>
      </w:r>
      <w:bookmarkEnd w:id="85"/>
    </w:p>
    <w:p w14:paraId="24F32EEA" w14:textId="77777777" w:rsidR="00D9250A" w:rsidRPr="0019113B" w:rsidRDefault="00D9250A" w:rsidP="0097376F">
      <w:pPr>
        <w:pStyle w:val="3"/>
      </w:pPr>
      <w:bookmarkStart w:id="86" w:name="_Toc201901933"/>
      <w:r w:rsidRPr="0019113B">
        <w:t>Более 700 тыс. человек, у которых есть периоды работы на Украине, смогут увеличить свои пенсии с 1 июля 2025 года. Об этом в интервью ТАСС сообщил председатель Социального фонда России Сергей Чирков.</w:t>
      </w:r>
      <w:bookmarkEnd w:id="86"/>
    </w:p>
    <w:p w14:paraId="205B9815" w14:textId="77777777" w:rsidR="00D9250A" w:rsidRPr="0019113B" w:rsidRDefault="00D9250A" w:rsidP="00D9250A">
      <w:r w:rsidRPr="0019113B">
        <w:t>С 1 июля в стаж будут включаться период работы на Украине с 1 января 1991 года по 23 февраля 2022 года. Также в стаж зачтут работу на территории ДНР и ЛНР с 11 мая 2014 года по 31 декабря 2022 года и на территориях Херсонской и Запорожской областей - с 24 февраля по 31 декабря 2022 года.</w:t>
      </w:r>
    </w:p>
    <w:p w14:paraId="74E625A2" w14:textId="77777777" w:rsidR="00D9250A" w:rsidRPr="0019113B" w:rsidRDefault="00D9250A" w:rsidP="00D9250A">
      <w:r w:rsidRPr="0019113B">
        <w:t>«По предварительным оценкам, под этот закон может попасть более 700 тыс. человек. Сейчас мы анализируем дело каждого такого человека. Закон касается тех, кто переехал в Россию из Украины - Киева, Львова и других городов - и не проживал постоянно на 18 марта 2014 года в Крыму и Севастополе или на 30 сентября 2022 года на территориях ДНР, ЛНР, Запорожской и Херсонской областей. Мы его называем в своих кругах «закон о пенсионных правах соотечественников», - пояснил Чирков.</w:t>
      </w:r>
    </w:p>
    <w:p w14:paraId="3C3EA70C" w14:textId="77777777" w:rsidR="00D9250A" w:rsidRPr="0019113B" w:rsidRDefault="00D9250A" w:rsidP="00D9250A">
      <w:r w:rsidRPr="0019113B">
        <w:lastRenderedPageBreak/>
        <w:t>За полный отработанный календарный год будут учитывать один коэффициент. Перерасчет пенсий будет производиться по заявлению, людям нужно самим обратиться в Соцфонд. Так как новый закон вступает в силу с 1 июля 2025 года, заявления можно подать уже в июне. «На данный момент мы приняли более 2 тыс. заявлений. Кроме того, для новых субъектов сняты ограничения по продолжительности страхового стажа, который возможно было учесть при назначении пенсии. Данное ограничение составляло 15 лет. Теперь весь стаж, подтвержденный межведомственной комиссией, будет учитываться при назначении пенсии», - добавил глава фонда.</w:t>
      </w:r>
    </w:p>
    <w:p w14:paraId="4A9B401D" w14:textId="77777777" w:rsidR="00D9250A" w:rsidRPr="0019113B" w:rsidRDefault="00D9250A" w:rsidP="00D9250A">
      <w:r w:rsidRPr="0019113B">
        <w:t>Закон не имеет обратной силы, поэтому перерасчета уже выплаченных пенсий не будет. То есть страховая пенсия, право на которую возникает с учетом положений этого закона, назначается с даты обращения, но не раньше, чем с 1 июля 2025 года. Деньги на реализацию нового закона есть, они уже учтены в текущем бюджете фонда. «У многих людей, к счастью, остались документы, с которыми они уезжали, например, трудовая книжка. Подтвердить страховые периоды можно документами, которые выдали работодатели, государственные или муниципальные органы. Если таких документов нет - сведениями, содержащимися в выплатном деле. И только в случае, когда ничего из этого нет, решение будет принимать межведомственная комиссия», - пояснил Чирков.</w:t>
      </w:r>
    </w:p>
    <w:p w14:paraId="40F780B0" w14:textId="77777777" w:rsidR="00D9250A" w:rsidRPr="0019113B" w:rsidRDefault="00D9250A" w:rsidP="00D9250A">
      <w:hyperlink r:id="rId27" w:history="1">
        <w:r w:rsidRPr="0019113B">
          <w:rPr>
            <w:rStyle w:val="a3"/>
          </w:rPr>
          <w:t>https://tass.ru/obschestvo/24358751</w:t>
        </w:r>
      </w:hyperlink>
      <w:r w:rsidRPr="0019113B">
        <w:t xml:space="preserve"> </w:t>
      </w:r>
    </w:p>
    <w:p w14:paraId="7210A5D8" w14:textId="77777777" w:rsidR="00E82515" w:rsidRPr="0019113B" w:rsidRDefault="00E82515" w:rsidP="00E82515">
      <w:pPr>
        <w:pStyle w:val="2"/>
      </w:pPr>
      <w:bookmarkStart w:id="87" w:name="_Toc201901934"/>
      <w:r w:rsidRPr="0019113B">
        <w:t>Информер, 26.06.2025, С 2026 года россиянкам пересчитают пенсии, но не всем</w:t>
      </w:r>
      <w:bookmarkEnd w:id="87"/>
    </w:p>
    <w:p w14:paraId="03B73B5F" w14:textId="77777777" w:rsidR="00E82515" w:rsidRPr="0019113B" w:rsidRDefault="00E82515" w:rsidP="0097376F">
      <w:pPr>
        <w:pStyle w:val="3"/>
      </w:pPr>
      <w:bookmarkStart w:id="88" w:name="_Toc201901935"/>
      <w:r w:rsidRPr="0019113B">
        <w:t>Страховой стаж российских матерей, воспитывающих пятерых и более детей, пересчитают для повышения пенсионных выплат. Это коснется около 400 тысяч женщин. Об этом сообщил Сергей Чирков, глава Социального фонда.</w:t>
      </w:r>
      <w:bookmarkEnd w:id="88"/>
    </w:p>
    <w:p w14:paraId="276D4E35" w14:textId="77777777" w:rsidR="00E82515" w:rsidRPr="0019113B" w:rsidRDefault="00E82515" w:rsidP="00E82515">
      <w:r w:rsidRPr="0019113B">
        <w:t>Нововведение будет распространяться и на уже вышедших на пенсию. Ранее в страховой стаж включался период ухода за ребёнком до полутора лет с ограничением в шесть лет, что фактически учитывало уход только за четырьмя детьми.</w:t>
      </w:r>
    </w:p>
    <w:p w14:paraId="275DFE8E" w14:textId="77777777" w:rsidR="00E82515" w:rsidRPr="0019113B" w:rsidRDefault="00E82515" w:rsidP="00E82515">
      <w:r w:rsidRPr="0019113B">
        <w:t>В декабре 2024 года на заседании Госсовета президент Владимир Путин поручил снять это ограничение, чтобы в стаж включались все периоды отпуска по уходу за детьми. Соответствующий законопроект был подготовлен Минтрудом. После его принятия многодетные родители смогут обратиться за пересчетом пенсии.</w:t>
      </w:r>
    </w:p>
    <w:p w14:paraId="5BFB4302" w14:textId="77777777" w:rsidR="00E82515" w:rsidRPr="0019113B" w:rsidRDefault="00E82515" w:rsidP="00E82515">
      <w:r w:rsidRPr="0019113B">
        <w:t>Предварительные данные говорят о 400 тысячах женщин, чьи периоды ухода за детьми ранее не учитывались. Теперь эти годы войдут в стаж и будут приносить дополнительные пенсионные баллы. К примеру, год ухода за третьим ребёнком добавит 5,4 балла, что сопоставимо с тем, что зарабатывает человек с зарплатой 120 тысяч рублей. По словам Сергея Чиркова, необходимые средства уже заложены в бюджет 2026 года.</w:t>
      </w:r>
    </w:p>
    <w:p w14:paraId="5146911F" w14:textId="77777777" w:rsidR="00E82515" w:rsidRPr="0019113B" w:rsidRDefault="00E82515" w:rsidP="00E82515">
      <w:r w:rsidRPr="0019113B">
        <w:t>Важным аспектом нового подхода станет признание труда многодетных матерей более значимым в пенсионной системе. Снятие ограничений по числу учитываемых детей позволит существенно увеличить число баллов за нестраховой период. Как пояснила член Комитета Госдумы Светлана Бессараб, новое регулирование создаст дополнительные стимулы и подчеркнуло высокую социальную важность материнского труда.</w:t>
      </w:r>
    </w:p>
    <w:p w14:paraId="1B3A3399" w14:textId="77777777" w:rsidR="00E82515" w:rsidRPr="0019113B" w:rsidRDefault="00E82515" w:rsidP="00E82515">
      <w:r w:rsidRPr="0019113B">
        <w:lastRenderedPageBreak/>
        <w:t>Также ожидается, что новый законопроект будет принят к 2026 году, а сами выплаты обеспечены в полном объёме. Эволюция системы страхового стажа наблюдается довольно чётко: в 2002 году учитывался уход за двумя детьми, в 2013 — за тремя детьми, а в 2015 — за четырьмя. Полное снятие ограничений становится логичным шагом.</w:t>
      </w:r>
    </w:p>
    <w:p w14:paraId="22DA2630" w14:textId="77777777" w:rsidR="00E82515" w:rsidRPr="0019113B" w:rsidRDefault="00E82515" w:rsidP="00E82515">
      <w:r w:rsidRPr="0019113B">
        <w:t>Помимо изменений в учёте стажа для многодетных матерей, пенсионная реформа продолжает поэтапное повышение возраста выхода на пенсию: до 60 лет для женщин и до 65 лет для мужчин к 2028 году. На этапе переходного периода была предусмотрена возможность оформления пенсии на полгода раньше нового возраста, но эта возможность завершится в 2025 году.</w:t>
      </w:r>
    </w:p>
    <w:p w14:paraId="25F7BC5B" w14:textId="77777777" w:rsidR="00E82515" w:rsidRPr="0019113B" w:rsidRDefault="00E82515" w:rsidP="00E82515">
      <w:r w:rsidRPr="0019113B">
        <w:t>Исключения остаются для некоторых категорий граждан, включая матери трёх и более детей, работников опасных производств, жителей северных регионов, безработных предпенсионеров и представителей отдельных профессий.</w:t>
      </w:r>
    </w:p>
    <w:p w14:paraId="2C01BC63" w14:textId="77777777" w:rsidR="00E82515" w:rsidRPr="0019113B" w:rsidRDefault="00E82515" w:rsidP="00E82515">
      <w:r w:rsidRPr="0019113B">
        <w:t>В 2026 году право выхода на пенсию по общим основаниям получат женщины 1967 года рождения и мужчины 1962 года рождения. Однако льготная категория сможет продолжать пользоваться преимуществами досрочного оформления пенсии по указанным критериям.</w:t>
      </w:r>
    </w:p>
    <w:p w14:paraId="59A4E6D3" w14:textId="77777777" w:rsidR="00111D7C" w:rsidRDefault="00E82515" w:rsidP="00E82515">
      <w:hyperlink r:id="rId28" w:history="1">
        <w:r w:rsidRPr="0019113B">
          <w:rPr>
            <w:rStyle w:val="a3"/>
          </w:rPr>
          <w:t>https://ruinformer.com/page/s-2026-goda-rossijankam-pereschitajut-pensii-no-ne-vsem</w:t>
        </w:r>
      </w:hyperlink>
    </w:p>
    <w:p w14:paraId="263803B9" w14:textId="77777777" w:rsidR="001309C7" w:rsidRDefault="001309C7" w:rsidP="001309C7">
      <w:pPr>
        <w:pStyle w:val="2"/>
      </w:pPr>
      <w:bookmarkStart w:id="89" w:name="_Toc201901936"/>
      <w:r>
        <w:t>Подмосковье сегодня, 25.06.2025, Не только по старости: кто в России может получать несколько пенсий одновременно</w:t>
      </w:r>
      <w:bookmarkEnd w:id="89"/>
    </w:p>
    <w:p w14:paraId="4DF3863B" w14:textId="77777777" w:rsidR="001309C7" w:rsidRDefault="001309C7" w:rsidP="0097376F">
      <w:pPr>
        <w:pStyle w:val="3"/>
      </w:pPr>
      <w:bookmarkStart w:id="90" w:name="_Toc201901937"/>
      <w:r>
        <w:t>В российском законодательстве предусмотрена возможность получения сразу нескольких пенсий одновременно. Однако таких «счастливчиков» не очень много, и явление не массовое, а скорее исключение, рассказала интернет-изданию «Подмосковье сегодня» доктор экономических наук, профессор РЭУ им. Г.В. Плеханова Наталья Проданова.</w:t>
      </w:r>
      <w:bookmarkEnd w:id="90"/>
    </w:p>
    <w:p w14:paraId="12715DDA" w14:textId="77777777" w:rsidR="001309C7" w:rsidRDefault="001309C7" w:rsidP="001309C7">
      <w:r>
        <w:t>Эксперт отметила, что исключение касается преимущественно граждан, имеющих льготный статус, перечень которых детально прописан в Законе о государственном пенсионном обеспечении.</w:t>
      </w:r>
    </w:p>
    <w:p w14:paraId="222A3490" w14:textId="77777777" w:rsidR="001309C7" w:rsidRDefault="001309C7" w:rsidP="001309C7">
      <w:r>
        <w:t>«Так, например, военнослужащие могут претендовать на получение страховой пенсии по старости, заработанной в течение трудовой деятельности, параллельно с пенсией за выслугу лет, которая начисляется за длительный период службы в армии. Однако это еще не все. Если военнослужащий получил инвалидность в результате боевых действий или военной травмы, он имеет право на дополнительную пенсию по инвалидности», — пояснила экономист интернет-изданию «Подмосковье сегодня».</w:t>
      </w:r>
    </w:p>
    <w:p w14:paraId="482F2CE9" w14:textId="77777777" w:rsidR="001309C7" w:rsidRDefault="001309C7" w:rsidP="001309C7">
      <w:r>
        <w:t>Таким образом, продолжила она, суммарно один человек может получать три различные пенсии, каждая из которых основана на различных принципах начисления.</w:t>
      </w:r>
    </w:p>
    <w:p w14:paraId="54DAD41D" w14:textId="77777777" w:rsidR="001309C7" w:rsidRDefault="001309C7" w:rsidP="001309C7">
      <w:r>
        <w:t xml:space="preserve">«Аналогичная ситуация складывается и по другим категориям граждан, которые находятся на особом контроле у государства. В частности, право на получение двух и более пенсий имеют участники Великой Отечественной войны, которые помимо страховой пенсии по старости могут иметь льготные пенсии, учрежденные в знак признания их заслуг перед Родиной», — добавила Проданова. </w:t>
      </w:r>
    </w:p>
    <w:p w14:paraId="6A0844D5" w14:textId="77777777" w:rsidR="001309C7" w:rsidRDefault="001309C7" w:rsidP="001309C7">
      <w:r>
        <w:lastRenderedPageBreak/>
        <w:t>К данной категории граждан также относятся лица, награжденные знаком «Житель блокадного Ленинграда», которые, кроме стандартных пенсионных выплат, могут претендовать на дополнительные льготы и пенсии, учитывающие тяжелейшие условия их жизни в блокадном городе.</w:t>
      </w:r>
    </w:p>
    <w:p w14:paraId="5A459996" w14:textId="77777777" w:rsidR="001309C7" w:rsidRDefault="001309C7" w:rsidP="001309C7">
      <w:r>
        <w:t xml:space="preserve">«Важно отметить и другие группы населения, имеющие право на получение сразу нескольких пенсий. Это родители военнослужащих, пострадавших или погибших при исполнении воинского долга, будь то призывники или контрактники. Например, если военнослужащий погиб во время службы или получил смертельную травму после увольнения в запас, его родители могут получать государственную пенсию по случаю потери кормильца», — отметила эксперт. </w:t>
      </w:r>
    </w:p>
    <w:p w14:paraId="3B21F326" w14:textId="77777777" w:rsidR="001309C7" w:rsidRDefault="001309C7" w:rsidP="001309C7">
      <w:r>
        <w:t>При этом, по словам экономиста, они также могут получать и свои собственные пенсии по старости или по инвалидности, если таковые имеют место быть.</w:t>
      </w:r>
    </w:p>
    <w:p w14:paraId="2079C29C" w14:textId="77777777" w:rsidR="001309C7" w:rsidRDefault="001309C7" w:rsidP="001309C7">
      <w:r>
        <w:t xml:space="preserve">«Аналогичное право распространяется и на вдов военнослужащих, погибших при исполнении воинского долга или в результате военной травмы, полученной как во время службы, так и после увольнения в запас. Они также, помимо пенсии по потере кормильца, могут получать страховую пенсию по старости или по инвалидности», — подчеркнула Проданова. </w:t>
      </w:r>
    </w:p>
    <w:p w14:paraId="7A2BB149" w14:textId="77777777" w:rsidR="001309C7" w:rsidRDefault="001309C7" w:rsidP="001309C7">
      <w:r>
        <w:t>К тому же право на двойное пенсионное обеспечение распространяется на нетрудоспособных членов семей, пострадавших от радиационного облучения в результате Чернобыльской катастрофы.</w:t>
      </w:r>
    </w:p>
    <w:p w14:paraId="793D3CD2" w14:textId="77777777" w:rsidR="001309C7" w:rsidRDefault="001309C7" w:rsidP="001309C7">
      <w:r>
        <w:t xml:space="preserve">«Они могут получать государственную пенсию, а также пенсию по старости или инвалидности, если она подтверждена. Наконец, члены семей погибших или умерших космонавтов также попадают под действие данного законодательства, имея право на получение пенсии по случаю утраты кормильца, а также своих собственных пенсионных выплат», — заключила эксперт. </w:t>
      </w:r>
    </w:p>
    <w:p w14:paraId="3D533582" w14:textId="77777777" w:rsidR="001309C7" w:rsidRPr="0019113B" w:rsidRDefault="001309C7" w:rsidP="001309C7">
      <w:hyperlink r:id="rId29" w:history="1">
        <w:r w:rsidRPr="009006CB">
          <w:rPr>
            <w:rStyle w:val="a3"/>
          </w:rPr>
          <w:t>https://mosregtoday.ru/news/interesnoe/ne-tolko-po-starosti-kto-v-rossii-mozhet-poluchat-neskolko-pensij-odnovremenno/</w:t>
        </w:r>
      </w:hyperlink>
      <w:r>
        <w:t xml:space="preserve"> </w:t>
      </w:r>
    </w:p>
    <w:p w14:paraId="3C388163" w14:textId="77777777" w:rsidR="00903835" w:rsidRPr="009A3D09" w:rsidRDefault="00903835" w:rsidP="00903835">
      <w:pPr>
        <w:pStyle w:val="2"/>
        <w:rPr>
          <w:color w:val="FF0000"/>
        </w:rPr>
      </w:pPr>
      <w:bookmarkStart w:id="91" w:name="_Toc201901938"/>
      <w:r w:rsidRPr="009A3D09">
        <w:rPr>
          <w:color w:val="FF0000"/>
        </w:rPr>
        <w:t>Мир новостей, 26.06.2025, Константин ЛЫБА, Накопительная пенсия - по наследству</w:t>
      </w:r>
      <w:bookmarkEnd w:id="91"/>
    </w:p>
    <w:p w14:paraId="5EC87F8A" w14:textId="77777777" w:rsidR="00903835" w:rsidRPr="0019113B" w:rsidRDefault="00903835" w:rsidP="0097376F">
      <w:pPr>
        <w:pStyle w:val="3"/>
      </w:pPr>
      <w:bookmarkStart w:id="92" w:name="_Toc201901939"/>
      <w:r w:rsidRPr="0019113B">
        <w:t>В Госдуме предложили разрешить передачу пенсионных накоплений по наследству. Речь идет о тех деньгах, которые россияне откладывали на старость с 2002-го по 2014-й годы. Они формировались за счет взносов работодателя или самих будущих пенсионеров. Сейчас накопительная часть пенсии передается по наследству только в двух случаях: если человек умер до назначения пенсии или если он выбирал срочный, а не пожизненный порядок выплат. В Госдуме подготовили законопроект, который даст право родственникам претендовать на такое наследство, в том числе и после назначения бессрочной выплаты.</w:t>
      </w:r>
      <w:bookmarkEnd w:id="92"/>
    </w:p>
    <w:p w14:paraId="4CD1C366" w14:textId="77777777" w:rsidR="00903835" w:rsidRPr="0019113B" w:rsidRDefault="00903835" w:rsidP="00903835">
      <w:r w:rsidRPr="0019113B">
        <w:t xml:space="preserve">О том, кого могут коснуться изменения, рассказала руководитель практики семейного и наследственного права IPN Partners Светлана Иванова: «Накопительное - это то, что формировалось ранее, реформа действовала с 2002-го по 2014-й годы, и речь идет о накоплениях за этот период. После 2014-го года это было отменено, то есть у людей, </w:t>
      </w:r>
      <w:r w:rsidRPr="0019113B">
        <w:lastRenderedPageBreak/>
        <w:t>которые официально работают, вообще нет накопительной части, она будет формироваться, только если гражданин примет решение перечислять сам какую-то часть от своей зарплаты на накопительную часть пенсии. Только при условии, если гражданин умер до того, как он в принципе начал получать пенсию, наследники смогут претендовать на эту накопительную часть, либо если он получал ее не бессрочно».</w:t>
      </w:r>
    </w:p>
    <w:p w14:paraId="2641F9F8" w14:textId="77777777" w:rsidR="00903835" w:rsidRPr="0019113B" w:rsidRDefault="00903835" w:rsidP="00903835">
      <w:r w:rsidRPr="0019113B">
        <w:t>Как отмечают в Центробанке, изменения могут затронуть финансовую устойчивость системы пенсионного страхования. Руководитель практики частных клиентов Юридической компании «Митра» Алина Лактионова сомневается, что идея будет быстро одобрена: «Банк России предостерегает от пересмотра действующих правил, потому что принцип пожизненных выплат основан на перераспределении неиспользованных средств в пользу других пенсионеров. В случае смерти гражданина до назначения ему пенсии право на получение этой накопительной части имеют его наследники, указанные в заявлении о распределении средств, либо наследники по закону. Они должны обратиться в ПФР или в этот негосударственный пенсионный фонд и, соответственно, получить деньги. Если же человек уже получал пенсию, но умер, не исчерпав накопительную часть, то она не наследуется и остается в пенсионном фонде, как бы это и является предметом обсуждения. Но эта инициатива затрагивает очень много аспектов, в том числе и вопрос формирования государственного бюджета».</w:t>
      </w:r>
    </w:p>
    <w:p w14:paraId="4C1F77BC" w14:textId="77777777" w:rsidR="00903835" w:rsidRPr="0019113B" w:rsidRDefault="00903835" w:rsidP="00903835">
      <w:r w:rsidRPr="0019113B">
        <w:t>Как видите, речь идет о том, чтобы отдать наследникам оставшуюся часть накопительной пенсии, даже если ушедший из жизни человек уже начал ее получать. Это было бы совершенно справедливо, но только нашим чиновникам, увы, значение этого слова неизвестно…</w:t>
      </w:r>
    </w:p>
    <w:p w14:paraId="6E413C90" w14:textId="77777777" w:rsidR="00903835" w:rsidRDefault="00903835" w:rsidP="00903835">
      <w:hyperlink r:id="rId30" w:history="1">
        <w:r w:rsidRPr="0019113B">
          <w:rPr>
            <w:rStyle w:val="a3"/>
          </w:rPr>
          <w:t>https://mirnov.ru/obshchestvo/vlast-i-zakon/nakopitelnaja-pensija-po-nasledstvu.html</w:t>
        </w:r>
      </w:hyperlink>
      <w:r w:rsidRPr="0019113B">
        <w:t xml:space="preserve"> </w:t>
      </w:r>
    </w:p>
    <w:p w14:paraId="6DA232D0" w14:textId="77777777" w:rsidR="009A3D09" w:rsidRPr="009A3D09" w:rsidRDefault="009A3D09" w:rsidP="009A3D09">
      <w:pPr>
        <w:pStyle w:val="2"/>
        <w:rPr>
          <w:color w:val="FF0000"/>
        </w:rPr>
      </w:pPr>
      <w:bookmarkStart w:id="93" w:name="_Toc201901940"/>
      <w:r w:rsidRPr="009A3D09">
        <w:rPr>
          <w:color w:val="FF0000"/>
          <w:lang w:val="en-US"/>
        </w:rPr>
        <w:t>Viralife</w:t>
      </w:r>
      <w:r w:rsidRPr="009A3D09">
        <w:rPr>
          <w:color w:val="FF0000"/>
        </w:rPr>
        <w:t>, 26.06.2025, Накопительная пенсия - по наследству</w:t>
      </w:r>
      <w:bookmarkEnd w:id="93"/>
    </w:p>
    <w:p w14:paraId="0284498E" w14:textId="77777777" w:rsidR="009A3D09" w:rsidRPr="005E64B6" w:rsidRDefault="009A3D09" w:rsidP="009A3D09">
      <w:pPr>
        <w:pStyle w:val="3"/>
      </w:pPr>
      <w:bookmarkStart w:id="94" w:name="_Toc201901941"/>
      <w:r w:rsidRPr="005E64B6">
        <w:t>Речь идет о тех деньгах, которые россияне откладывали на старость с 2002-го по 2014-й годы. Они формировались за счет взносов работодателя или самих будущих пенсионеров. Сейчас накопительная часть пенсии передается по наследству только в двух случаях: если человек умер до назначения пенсии или если он выбирал срочный, а не пожизненный порядок выплат. В Госдуме подготовили законопроект, который даст право родственникам претендовать на такое наследство, в том числе и после назначения бессрочной выплаты.</w:t>
      </w:r>
      <w:bookmarkEnd w:id="94"/>
    </w:p>
    <w:p w14:paraId="280686F5" w14:textId="77777777" w:rsidR="009A3D09" w:rsidRPr="005E64B6" w:rsidRDefault="009A3D09" w:rsidP="009A3D09">
      <w:r w:rsidRPr="005E64B6">
        <w:t xml:space="preserve">О том, кого могут коснуться изменения, рассказала руководитель практики семейного и наследственного права </w:t>
      </w:r>
      <w:r w:rsidRPr="005E64B6">
        <w:rPr>
          <w:lang w:val="en-US"/>
        </w:rPr>
        <w:t>IPN</w:t>
      </w:r>
      <w:r w:rsidRPr="005E64B6">
        <w:t xml:space="preserve"> </w:t>
      </w:r>
      <w:r w:rsidRPr="005E64B6">
        <w:rPr>
          <w:lang w:val="en-US"/>
        </w:rPr>
        <w:t>Partners</w:t>
      </w:r>
      <w:r w:rsidRPr="005E64B6">
        <w:t xml:space="preserve"> Светлана Иванова: "Накопительное - это то, что формировалось ранее, реформа действовала с 2002-го по 2014-й годы, и речь идет о накоплениях за этот период. После 2014-го года это было отменено, то есть у людей, которые официально работают, вообще нет накопительной части, она будет формироваться, только если гражданин примет решение перечислять сам какую-то часть от своей зарплаты на накопительную часть пенсии. Только при условии, если гражданин умер до того, как он в принципе начал получать пенсию, наследники смогут претендовать на эту накопительную часть, либо если он получал ее не бессрочно".</w:t>
      </w:r>
    </w:p>
    <w:p w14:paraId="1D742B97" w14:textId="77777777" w:rsidR="009A3D09" w:rsidRPr="005E64B6" w:rsidRDefault="009A3D09" w:rsidP="009A3D09">
      <w:r w:rsidRPr="005E64B6">
        <w:t xml:space="preserve">Как отмечают в Центробанке, изменения могут затронуть финансовую устойчивость системы пенсионного страхования. Руководитель практики частных клиентов </w:t>
      </w:r>
      <w:r w:rsidRPr="005E64B6">
        <w:lastRenderedPageBreak/>
        <w:t>Юридической компании "Митра" Алина Лактионова сомневается, что идея будет быстро одобрена: "Банк России предостерегает от пересмотра действующих правил, потому что принцип пожизненных выплат основан на перераспределении неиспользованных средств в пользу других пенсионеров. В случае смерти гражданина до назначения ему пенсии право на получение этой накопительной части имеют его наследники, указанные в заявлении о распределении средств, либо наследники по закону. Они должны обратиться в ПФР или в этот негосударственный пенсионный фонд и, соответственно, получить деньги. Если же человек уже получал пенсию, но умер, не исчерпав накопительную часть, то она не наследуется и остается в пенсионном фонде, как бы это и является предметом обсуждения. Но эта инициатива затрагивает очень много аспектов, в том числе и вопрос формирования государственного бюджета".</w:t>
      </w:r>
    </w:p>
    <w:p w14:paraId="0CB90E62" w14:textId="77777777" w:rsidR="009A3D09" w:rsidRPr="005E64B6" w:rsidRDefault="009A3D09" w:rsidP="009A3D09">
      <w:r w:rsidRPr="005E64B6">
        <w:t>Как видите, речь идет о том, чтобы отдать наследникам оставшуюся часть накопительной пенсии, даже если ушедший из жизни человек уже начал ее получать. Это было бы совершенно справедливо, но только нашим чиновникам, увы, значение этого слова неизвестно…</w:t>
      </w:r>
    </w:p>
    <w:p w14:paraId="326986DE" w14:textId="77777777" w:rsidR="009A3D09" w:rsidRPr="005E64B6" w:rsidRDefault="009A3D09" w:rsidP="009A3D09">
      <w:r w:rsidRPr="005E64B6">
        <w:t>Константин Лыба</w:t>
      </w:r>
    </w:p>
    <w:p w14:paraId="0EFB6407" w14:textId="45907D75" w:rsidR="009A3D09" w:rsidRPr="0019113B" w:rsidRDefault="009A3D09" w:rsidP="00903835">
      <w:hyperlink r:id="rId31" w:history="1">
        <w:r w:rsidRPr="00BD0F8C">
          <w:rPr>
            <w:rStyle w:val="a3"/>
            <w:lang w:val="en-US"/>
          </w:rPr>
          <w:t>https</w:t>
        </w:r>
        <w:r w:rsidRPr="005E64B6">
          <w:rPr>
            <w:rStyle w:val="a3"/>
          </w:rPr>
          <w:t>://</w:t>
        </w:r>
        <w:r w:rsidRPr="00BD0F8C">
          <w:rPr>
            <w:rStyle w:val="a3"/>
            <w:lang w:val="en-US"/>
          </w:rPr>
          <w:t>viralife</w:t>
        </w:r>
        <w:r w:rsidRPr="005E64B6">
          <w:rPr>
            <w:rStyle w:val="a3"/>
          </w:rPr>
          <w:t>.</w:t>
        </w:r>
        <w:r w:rsidRPr="00BD0F8C">
          <w:rPr>
            <w:rStyle w:val="a3"/>
            <w:lang w:val="en-US"/>
          </w:rPr>
          <w:t>ru</w:t>
        </w:r>
        <w:r w:rsidRPr="005E64B6">
          <w:rPr>
            <w:rStyle w:val="a3"/>
          </w:rPr>
          <w:t>/</w:t>
        </w:r>
        <w:r w:rsidRPr="00BD0F8C">
          <w:rPr>
            <w:rStyle w:val="a3"/>
            <w:lang w:val="en-US"/>
          </w:rPr>
          <w:t>nakopitelnaya</w:t>
        </w:r>
        <w:r w:rsidRPr="005E64B6">
          <w:rPr>
            <w:rStyle w:val="a3"/>
          </w:rPr>
          <w:t>-</w:t>
        </w:r>
        <w:r w:rsidRPr="00BD0F8C">
          <w:rPr>
            <w:rStyle w:val="a3"/>
            <w:lang w:val="en-US"/>
          </w:rPr>
          <w:t>pensiya</w:t>
        </w:r>
        <w:r w:rsidRPr="005E64B6">
          <w:rPr>
            <w:rStyle w:val="a3"/>
          </w:rPr>
          <w:t>-</w:t>
        </w:r>
        <w:r w:rsidRPr="00BD0F8C">
          <w:rPr>
            <w:rStyle w:val="a3"/>
            <w:lang w:val="en-US"/>
          </w:rPr>
          <w:t>po</w:t>
        </w:r>
        <w:r w:rsidRPr="005E64B6">
          <w:rPr>
            <w:rStyle w:val="a3"/>
          </w:rPr>
          <w:t>-</w:t>
        </w:r>
        <w:r w:rsidRPr="00BD0F8C">
          <w:rPr>
            <w:rStyle w:val="a3"/>
            <w:lang w:val="en-US"/>
          </w:rPr>
          <w:t>nasledstvu</w:t>
        </w:r>
        <w:r w:rsidRPr="005E64B6">
          <w:rPr>
            <w:rStyle w:val="a3"/>
          </w:rPr>
          <w:t>/</w:t>
        </w:r>
      </w:hyperlink>
      <w:r w:rsidRPr="005E64B6">
        <w:t xml:space="preserve"> </w:t>
      </w:r>
    </w:p>
    <w:p w14:paraId="57BD5546" w14:textId="77777777" w:rsidR="00DA631E" w:rsidRPr="0019113B" w:rsidRDefault="00DA631E" w:rsidP="00DA631E">
      <w:pPr>
        <w:pStyle w:val="2"/>
      </w:pPr>
      <w:bookmarkStart w:id="95" w:name="_Toc201901942"/>
      <w:r w:rsidRPr="0019113B">
        <w:t>Ваш Пенсионный Брокер, 26.06.2025, Число получателей надбавки по уходу среди пенсионеров старше 80 лет выросло на 2,4 млн человек</w:t>
      </w:r>
      <w:bookmarkEnd w:id="95"/>
    </w:p>
    <w:p w14:paraId="157D4D1A" w14:textId="77777777" w:rsidR="00DA631E" w:rsidRPr="0019113B" w:rsidRDefault="00DA631E" w:rsidP="0097376F">
      <w:pPr>
        <w:pStyle w:val="3"/>
      </w:pPr>
      <w:bookmarkStart w:id="96" w:name="_Toc201901943"/>
      <w:r w:rsidRPr="0019113B">
        <w:t>Это произошло благодаря новым правилам, которые действуют с начала этого года. Согласно им, для большинства россиян выплата теперь оформляется автоматически, а не по заявлению, как было ранее.</w:t>
      </w:r>
      <w:bookmarkEnd w:id="96"/>
    </w:p>
    <w:p w14:paraId="03039CCA" w14:textId="77777777" w:rsidR="00DA631E" w:rsidRPr="0019113B" w:rsidRDefault="00DA631E" w:rsidP="00DA631E">
      <w:r w:rsidRPr="0019113B">
        <w:t>Правом на получение средств по уходу пользуются пенсионеры, достигшие 80 лет, а также некоторые другие граждане, например инвалиды первой группы. С этого года после вступивших в силу изменений соответствующую выплату им устанавливают автоматически, не требуя подачи заявления. По ранее действовавшему порядку, заявление должны были написать ухаживающие за пенсионером близкие или родственники. К заявлению они также прикладывали согласие пенсионера на осуществление ухода за ним.</w:t>
      </w:r>
    </w:p>
    <w:p w14:paraId="3CA2A9A8" w14:textId="77777777" w:rsidR="00DA631E" w:rsidRPr="0019113B" w:rsidRDefault="00DA631E" w:rsidP="00DA631E">
      <w:r w:rsidRPr="0019113B">
        <w:t>Начиная с 2025 года Социальный фонд проактивно оформляет выплату в качестве надбавки к пенсии. Это происходит после того, как человек достиг 80-летнего возраста. Наличие ухаживающего при этом теперь больше не требуется. За счет подобного порядка число обладателей выплаты по сравнению с прошлым годом выросло более чем вдвое – на 2,4 млн человек. На конец 2024-го, согласно данным Социального фонда, надбавка была установлена 2 млн пенсионеров в возрасте 80 лет и старше, к июню текущего года их стало 4,4 млн.</w:t>
      </w:r>
    </w:p>
    <w:p w14:paraId="47535552" w14:textId="77777777" w:rsidR="00DA631E" w:rsidRPr="0019113B" w:rsidRDefault="00DA631E" w:rsidP="00DA631E">
      <w:r w:rsidRPr="0019113B">
        <w:t xml:space="preserve">Помимо того, что выплату теперь получает больше людей, ее размер тоже стал выше. Предоставление средств в виде надбавки к пенсии вместо самостоятельной меры позволяет ежегодно индексировать выплату на тот же уровень, что и пенсии. Раньше ухаживающим ежегодно предоставлялась одна и та же сумма, составлявшая 1,2 тыс. рублей. После прошедших в этом году индексаций пенсий в январе, феврале и апреле </w:t>
      </w:r>
      <w:r w:rsidRPr="0019113B">
        <w:lastRenderedPageBreak/>
        <w:t>размер надбавки увеличился. В дальнейшем она продолжит расти с каждым новым повышением пенсионных выплат.</w:t>
      </w:r>
    </w:p>
    <w:p w14:paraId="62FCF99D" w14:textId="77777777" w:rsidR="00DA631E" w:rsidRPr="0019113B" w:rsidRDefault="00DA631E" w:rsidP="00DA631E">
      <w:r w:rsidRPr="0019113B">
        <w:t>Отметим, что предоставление выплат по уходу за нетрудоспособными людьми входит в госпрограмму социальной поддержки отдельных категорий россиян.</w:t>
      </w:r>
    </w:p>
    <w:p w14:paraId="1E00D92C" w14:textId="77777777" w:rsidR="00E82515" w:rsidRPr="0019113B" w:rsidRDefault="00DA631E" w:rsidP="00DA631E">
      <w:hyperlink r:id="rId32" w:history="1">
        <w:r w:rsidRPr="0019113B">
          <w:rPr>
            <w:rStyle w:val="a3"/>
          </w:rPr>
          <w:t>http://pbroker.ru/?p=80375</w:t>
        </w:r>
      </w:hyperlink>
    </w:p>
    <w:p w14:paraId="21983E5C" w14:textId="77777777" w:rsidR="007A5DD0" w:rsidRPr="0019113B" w:rsidRDefault="007A5DD0" w:rsidP="007A5DD0">
      <w:pPr>
        <w:pStyle w:val="2"/>
      </w:pPr>
      <w:bookmarkStart w:id="97" w:name="_Toc201901944"/>
      <w:r w:rsidRPr="0019113B">
        <w:t>Конкурент, 26.06.2025, Пенсия увеличится в два раза. Эксперт рассказал, как это сделать</w:t>
      </w:r>
      <w:bookmarkEnd w:id="97"/>
    </w:p>
    <w:p w14:paraId="689D0CF0" w14:textId="77777777" w:rsidR="007A5DD0" w:rsidRPr="0019113B" w:rsidRDefault="007A5DD0" w:rsidP="0097376F">
      <w:pPr>
        <w:pStyle w:val="3"/>
      </w:pPr>
      <w:bookmarkStart w:id="98" w:name="_Toc201901945"/>
      <w:r w:rsidRPr="0019113B">
        <w:t>Россияне имеют возможность существенно увеличить свои будущие пенсионные выплаты, отложив момент их оформления. По словам Игоря Балынина, доцента Финансового университета при правительстве РФ, отсрочка обращения за пенсией на 10 лет и более может привести к увеличению ее размера более чем в два раза.</w:t>
      </w:r>
      <w:bookmarkEnd w:id="98"/>
    </w:p>
    <w:p w14:paraId="6C0631E5" w14:textId="77777777" w:rsidR="007A5DD0" w:rsidRPr="0019113B" w:rsidRDefault="007A5DD0" w:rsidP="007A5DD0">
      <w:r w:rsidRPr="0019113B">
        <w:t>Это увеличение достигается за счет применения повышающих коэффициентов, предусмотренных законом «О страховых пенсиях». Эти коэффициенты влияют как на фиксированную выплату, так и на индивидуальный пенсионный коэффициент (ИПК). Чем дольше человек откладывает оформление пенсии, тем выше будут эти коэффициенты.</w:t>
      </w:r>
    </w:p>
    <w:p w14:paraId="44B50ECF" w14:textId="77777777" w:rsidR="007A5DD0" w:rsidRPr="0019113B" w:rsidRDefault="007A5DD0" w:rsidP="007A5DD0">
      <w:r w:rsidRPr="0019113B">
        <w:t>В качестве примера Балынин приводит ситуацию с гражданином, у которого право на пенсию возникло в июне 2024 г. и сформирован ИПК в размере 121. Если он обратится за пенсией через год, в июне 2025 г., его пенсия будет на 7% больше и составит 28,27 тыс. руб. Однако, если он отложит обращение на 10 лет и более, то в июне 2025 г. его пенсия вырастет в 2,25 раза и достигнет 59,69 тыс. руб.</w:t>
      </w:r>
    </w:p>
    <w:p w14:paraId="7105F556" w14:textId="77777777" w:rsidR="007A5DD0" w:rsidRPr="0019113B" w:rsidRDefault="007A5DD0" w:rsidP="007A5DD0">
      <w:r w:rsidRPr="0019113B">
        <w:t>Стоит отметить, что пенсионная реформа вносит свои коррективы. В 2025 г. никто не выйдет на страховую пенсию по возрасту. В 2026 г. право на пенсию получат женщины в возрасте 59 лет и мужчины в возрасте 64 лет при условии наличия 15 лет страхового стажа и 30 ИПК. На данный момент средняя пенсия в России составляет 25 тыс. руб.</w:t>
      </w:r>
    </w:p>
    <w:p w14:paraId="0CA1D1CA" w14:textId="77777777" w:rsidR="007A5DD0" w:rsidRPr="0019113B" w:rsidRDefault="007A5DD0" w:rsidP="007A5DD0">
      <w:hyperlink r:id="rId33" w:history="1">
        <w:r w:rsidRPr="0019113B">
          <w:rPr>
            <w:rStyle w:val="a3"/>
          </w:rPr>
          <w:t>https://konkurent.ru/article/78485</w:t>
        </w:r>
      </w:hyperlink>
      <w:r w:rsidRPr="0019113B">
        <w:t xml:space="preserve"> </w:t>
      </w:r>
    </w:p>
    <w:p w14:paraId="36F9FB70" w14:textId="77777777" w:rsidR="007A5DD0" w:rsidRPr="0019113B" w:rsidRDefault="007A5DD0" w:rsidP="007A5DD0">
      <w:pPr>
        <w:pStyle w:val="2"/>
      </w:pPr>
      <w:bookmarkStart w:id="99" w:name="_Toc201901946"/>
      <w:r w:rsidRPr="0019113B">
        <w:t>PRIMPRESS, 26.06.2025, И работающим, и неработающим. Эту сумму зачислят на карты всем пенсионерам с 27 июня</w:t>
      </w:r>
      <w:bookmarkEnd w:id="99"/>
    </w:p>
    <w:p w14:paraId="2F2FD559" w14:textId="77777777" w:rsidR="007A5DD0" w:rsidRPr="0019113B" w:rsidRDefault="007A5DD0" w:rsidP="0097376F">
      <w:pPr>
        <w:pStyle w:val="3"/>
      </w:pPr>
      <w:bookmarkStart w:id="100" w:name="_Toc201901947"/>
      <w:r w:rsidRPr="0019113B">
        <w:t>Российским пенсионерам сообщили о поступлении дополнительных средств на карты, которое начнется уже с 27 июня. Все пожилые граждане смогут получить этот бонус независимо от их трудового статуса. Деньги будут зачисляться на счета определенных банковских учреждений, рассказал пенсионный специалист Сергей Власов, сообщает PRIMPRESS.</w:t>
      </w:r>
      <w:bookmarkEnd w:id="100"/>
    </w:p>
    <w:p w14:paraId="5918931E" w14:textId="77777777" w:rsidR="007A5DD0" w:rsidRPr="0019113B" w:rsidRDefault="007A5DD0" w:rsidP="007A5DD0">
      <w:r w:rsidRPr="0019113B">
        <w:t>По его словам, право на получение дополнительных выплат имеют те пенсионеры, которые недавно стали клиентами некоторых банков. Это могут быть как те, кто не работает, так и те, кто продолжает трудиться. Многие финансовые организации пообещали пожилым клиентам бонусы за перевод пенсии на их счета, и эти суммы скоро появятся на их счетах.</w:t>
      </w:r>
    </w:p>
    <w:p w14:paraId="1ED0D34C" w14:textId="77777777" w:rsidR="007A5DD0" w:rsidRPr="0019113B" w:rsidRDefault="007A5DD0" w:rsidP="007A5DD0">
      <w:r w:rsidRPr="0019113B">
        <w:lastRenderedPageBreak/>
        <w:t>Особенно отметили, что выплату смогут получить те, чей пенсия начала поступать на карты банка «Открытие». Этот банк ранее запустил акцию, по которой всем, кто начал получать пенсию на карту этого банка, начислят 1000 бонусных рублей. Важно, чтобы первая пенсия на новый счет поступила до конца мая, а в июне такие пенсионеры получат свой бонус.</w:t>
      </w:r>
    </w:p>
    <w:p w14:paraId="4C46C594" w14:textId="77777777" w:rsidR="007A5DD0" w:rsidRPr="0019113B" w:rsidRDefault="007A5DD0" w:rsidP="007A5DD0">
      <w:r w:rsidRPr="0019113B">
        <w:t>«Эти бонусные рубли можно будет перевести в обычные деньги и использовать по своему усмотрению: оплатить покупки картой или снять наличные через банкомат», — подчеркнул Власов.</w:t>
      </w:r>
    </w:p>
    <w:p w14:paraId="521696BB" w14:textId="77777777" w:rsidR="007A5DD0" w:rsidRPr="0019113B" w:rsidRDefault="007A5DD0" w:rsidP="007A5DD0">
      <w:r w:rsidRPr="0019113B">
        <w:t>Кроме того, в ближайшее время дополнительные выплаты получат пенсионеры, оформившие карту «Мир» в банке ВТБ весной и переведшие туда получение пенсии. Важным условием является, чтобы первая пенсия поступила на карту до 31 мая, и чтобы человек не получал выплаты в этом банке за последние полтора года.</w:t>
      </w:r>
    </w:p>
    <w:p w14:paraId="47A16737" w14:textId="77777777" w:rsidR="007A5DD0" w:rsidRPr="0019113B" w:rsidRDefault="007A5DD0" w:rsidP="007A5DD0">
      <w:r w:rsidRPr="0019113B">
        <w:t>«Размер бонуса в этом случае составит 2000 рублей. Также пенсионерам будут начислять кешбэк в размере двух процентов за покупки в аптеках до конца сентября», — добавил эксперт.</w:t>
      </w:r>
    </w:p>
    <w:p w14:paraId="1601764F" w14:textId="77777777" w:rsidR="007A5DD0" w:rsidRPr="0019113B" w:rsidRDefault="007A5DD0" w:rsidP="007A5DD0">
      <w:hyperlink r:id="rId34" w:history="1">
        <w:r w:rsidRPr="0019113B">
          <w:rPr>
            <w:rStyle w:val="a3"/>
          </w:rPr>
          <w:t>https://primpress.ru/article/124115</w:t>
        </w:r>
      </w:hyperlink>
      <w:r w:rsidRPr="0019113B">
        <w:t xml:space="preserve"> </w:t>
      </w:r>
    </w:p>
    <w:p w14:paraId="5124798F" w14:textId="77777777" w:rsidR="007A5DD0" w:rsidRPr="0019113B" w:rsidRDefault="007A5DD0" w:rsidP="007A5DD0">
      <w:pPr>
        <w:pStyle w:val="2"/>
      </w:pPr>
      <w:bookmarkStart w:id="101" w:name="_Toc201901948"/>
      <w:r w:rsidRPr="0019113B">
        <w:t>PRIMPRESS, 26.06.2025, Пенсионеров обрадовали. Тех, у кого есть не менее 20 лет стажа, ждет сюрприз</w:t>
      </w:r>
      <w:bookmarkEnd w:id="101"/>
    </w:p>
    <w:p w14:paraId="7F583A03" w14:textId="77777777" w:rsidR="007A5DD0" w:rsidRPr="0019113B" w:rsidRDefault="007A5DD0" w:rsidP="0097376F">
      <w:pPr>
        <w:pStyle w:val="3"/>
      </w:pPr>
      <w:bookmarkStart w:id="102" w:name="_Toc201901949"/>
      <w:r w:rsidRPr="0019113B">
        <w:t>Российским пенсионерам, имеющим не менее 20 лет стажа, сообщили о новой возможности получения дополнительных выплат. Для этого пожилым гражданам необходимо подать соответствующее заявление. Об этом рассказала юрист Ирина Сивакова, сообщает PRIMPRESS.</w:t>
      </w:r>
      <w:bookmarkEnd w:id="102"/>
    </w:p>
    <w:p w14:paraId="76B687D6" w14:textId="77777777" w:rsidR="007A5DD0" w:rsidRPr="0019113B" w:rsidRDefault="007A5DD0" w:rsidP="007A5DD0">
      <w:r w:rsidRPr="0019113B">
        <w:t>По её словам, большинство дополнительных выплат и социальных льгот в нашей стране предоставляются по заявительному принципу. То есть гражданин сам должен обратиться в соответствующее ведомство, чтобы оформить положенные ему выплаты.</w:t>
      </w:r>
    </w:p>
    <w:p w14:paraId="53861B98" w14:textId="77777777" w:rsidR="007A5DD0" w:rsidRPr="0019113B" w:rsidRDefault="007A5DD0" w:rsidP="007A5DD0">
      <w:r w:rsidRPr="0019113B">
        <w:t>Из-за этого часто возникают ситуации, когда человек не получает все положенные ему льготы. Чтобы избежать этого, важно быть в курсе существующих возможностей.</w:t>
      </w:r>
    </w:p>
    <w:p w14:paraId="5ADD83FD" w14:textId="77777777" w:rsidR="007A5DD0" w:rsidRPr="0019113B" w:rsidRDefault="007A5DD0" w:rsidP="007A5DD0">
      <w:r w:rsidRPr="0019113B">
        <w:t>Например, по словам юриста, это касается различных доплат, которые назначают за длительный стаж работы или наличие определенного звания. Такие льготы действуют во многих регионах России, однако условия могут отличаться в зависимости от места проживания пенсионера.</w:t>
      </w:r>
    </w:p>
    <w:p w14:paraId="7F1D5EB8" w14:textId="77777777" w:rsidR="007A5DD0" w:rsidRPr="0019113B" w:rsidRDefault="007A5DD0" w:rsidP="007A5DD0">
      <w:r w:rsidRPr="0019113B">
        <w:t>Чаще всего речь идет о доплатах для обладателей звания ветерана труда. Например, в Санкт-Петербурге пенсионеры, проработавшие в городе не менее 20 лет, могут рассчитывать на дополнительные выплаты сверх пенсии. При этом общий стаж должен быть значительно выше: минимум 40 лет для женщин и 45 лет для мужчин.</w:t>
      </w:r>
    </w:p>
    <w:p w14:paraId="24C7A292" w14:textId="77777777" w:rsidR="007A5DD0" w:rsidRPr="0019113B" w:rsidRDefault="007A5DD0" w:rsidP="007A5DD0">
      <w:r w:rsidRPr="0019113B">
        <w:t>В Москве пенсионерам с длительным стажем работы также начисляют городскую доплату. Как отмечает Сивакова, такие выплаты можно получать за весь период работы, даже если человек не знал о возможности их получения.</w:t>
      </w:r>
    </w:p>
    <w:p w14:paraId="19B479E8" w14:textId="77777777" w:rsidR="007A5DD0" w:rsidRPr="0019113B" w:rsidRDefault="007A5DD0" w:rsidP="007A5DD0">
      <w:r w:rsidRPr="0019113B">
        <w:t xml:space="preserve">Это решение было принято Верховным судом после жалобы мужчины, который не знал, что ветерану труда необходимо подавать заявление для получения доплаты. В результате </w:t>
      </w:r>
      <w:r w:rsidRPr="0019113B">
        <w:lastRenderedPageBreak/>
        <w:t>ему выплатили деньги с момента присвоения звания. И подобные приятные сюрпризы могут ждать многих уже с 26 июня.</w:t>
      </w:r>
    </w:p>
    <w:p w14:paraId="3BB57BF8" w14:textId="77777777" w:rsidR="00DA631E" w:rsidRPr="0019113B" w:rsidRDefault="007A5DD0" w:rsidP="007A5DD0">
      <w:hyperlink r:id="rId35" w:history="1">
        <w:r w:rsidRPr="0019113B">
          <w:rPr>
            <w:rStyle w:val="a3"/>
          </w:rPr>
          <w:t>https://primpress.ru/article/124116</w:t>
        </w:r>
      </w:hyperlink>
    </w:p>
    <w:p w14:paraId="3C61A5E5" w14:textId="77777777" w:rsidR="005E64B6" w:rsidRDefault="005E64B6" w:rsidP="005E64B6">
      <w:pPr>
        <w:pStyle w:val="2"/>
      </w:pPr>
      <w:bookmarkStart w:id="103" w:name="_Toc201901950"/>
      <w:r>
        <w:t>Life.Ru, 27.06.2025</w:t>
      </w:r>
      <w:r w:rsidRPr="005E64B6">
        <w:t xml:space="preserve">, </w:t>
      </w:r>
      <w:r>
        <w:t>С 1 июля появятся новые социальные выплаты. Кому они положены и сколько составят</w:t>
      </w:r>
      <w:bookmarkEnd w:id="103"/>
    </w:p>
    <w:p w14:paraId="09262301" w14:textId="77777777" w:rsidR="005E64B6" w:rsidRDefault="005E64B6" w:rsidP="005E64B6">
      <w:pPr>
        <w:pStyle w:val="3"/>
      </w:pPr>
      <w:bookmarkStart w:id="104" w:name="_Toc201901951"/>
      <w:r>
        <w:t>С 1 июля начнут действовать новые меры социальной поддержки. При этом будут проиндексированы и уже существующие пособия и компенсации. Кто станет получать больше и на сколько?</w:t>
      </w:r>
      <w:bookmarkEnd w:id="104"/>
    </w:p>
    <w:p w14:paraId="1719848E" w14:textId="77777777" w:rsidR="005E64B6" w:rsidRDefault="005E64B6" w:rsidP="005E64B6">
      <w:r>
        <w:t>В Социальном фонде России сообщили, что на 2,4 миллиона человек выросло число получателей надбавки по уходу среди пенсионеров старше 80 лет. Это связано с новыми правилами, которые действуют с начала 2025 года. Теперь для большинства россиян выплата оформляется автоматически, тогда как ранее для этого нужно было писать заявление.</w:t>
      </w:r>
    </w:p>
    <w:p w14:paraId="48FEEEFD" w14:textId="77777777" w:rsidR="005E64B6" w:rsidRDefault="005E64B6" w:rsidP="005E64B6">
      <w:r>
        <w:t>- Получать средства по уходу имеют право не только пенсионеры, достигшие 80 лет. Оно есть и у некоторых других граждан. Так, право на выплату имеют инвалиды первой группы, - пояснили в СФР.</w:t>
      </w:r>
    </w:p>
    <w:p w14:paraId="77232A9C" w14:textId="77777777" w:rsidR="005E64B6" w:rsidRDefault="005E64B6" w:rsidP="005E64B6">
      <w:r>
        <w:t>Сейчас Социальный фонд проактивно оформляет выплату, которая представляет собой надбавку к пенсии. Это происходит после того, как пенсионеру исполняется 80 лет. Важный нюанс: не требуется доказывать факт ухода. Надбавку пенсионер в любом случае получит.</w:t>
      </w:r>
    </w:p>
    <w:p w14:paraId="1B26A68C" w14:textId="77777777" w:rsidR="005E64B6" w:rsidRDefault="005E64B6" w:rsidP="005E64B6">
      <w:r>
        <w:t>Теперь выплату получает больше людей, её размер стал выше. К тому же в дальнейшем выплата будет индексироваться.</w:t>
      </w:r>
    </w:p>
    <w:p w14:paraId="34D016B6" w14:textId="77777777" w:rsidR="005E64B6" w:rsidRDefault="005E64B6" w:rsidP="005E64B6">
      <w:r>
        <w:t>Есть принципиальные новшества на региональном уровне, которые начинают действовать с 1 июля 2025 года. В частности, появятся новые социальные выплаты. Так, дополнительные меры поддержки появятся в Нижегородской области. С 1 июля 2025 года вступает в силу соответствующий региональный закон.</w:t>
      </w:r>
    </w:p>
    <w:p w14:paraId="2E041365" w14:textId="77777777" w:rsidR="005E64B6" w:rsidRDefault="005E64B6" w:rsidP="005E64B6">
      <w:r>
        <w:t>- В Нижегородской области появится региональный семейный капитал. Эта мера поддержки действует для семей, в которых в период с 1 июля 2025 года по 30 июня 2028 года включительно родится ребёнок. Получить региональный семейный капитал смогут и люди, усыновившие ребёнка, - рассказала ведущий юрист «Европейской юридической службы» Оксана Красовская.</w:t>
      </w:r>
    </w:p>
    <w:p w14:paraId="6D68C3E9" w14:textId="77777777" w:rsidR="005E64B6" w:rsidRDefault="005E64B6" w:rsidP="005E64B6">
      <w:r>
        <w:t>Суммы выплат будут различаться в зависимости от того, какой по счёту ребёнок родился или усыновлён в семье. Ежемесячные выплаты составят от 10 000 до 30 000 рублей. При этом в ряде случаев можно выбрать получение денег в форме целевых выплат. Суммы их достигают 1 миллиона рублей.</w:t>
      </w:r>
    </w:p>
    <w:p w14:paraId="6730A0A7" w14:textId="77777777" w:rsidR="005E64B6" w:rsidRDefault="005E64B6" w:rsidP="005E64B6">
      <w:r>
        <w:t>Потратить деньги из целевых выплат можно на чётко определённые цели. Так, их можно использовать для покупки жилья, автомобиля или оплаты образования детей.</w:t>
      </w:r>
    </w:p>
    <w:p w14:paraId="4F900CCB" w14:textId="77777777" w:rsidR="005E64B6" w:rsidRDefault="005E64B6" w:rsidP="005E64B6">
      <w:r>
        <w:t>В Нижегородской области выпущено также отдельное постановление о дополнительной мере социальной поддержки для семей с детьми. Оно касается детей, родившихся с 1 июля 2025 года по 30 июня 2028 года. Мера поддержки - выплата в размере 20 000 рублей на каждого ребёнка, который родился в этот период.</w:t>
      </w:r>
    </w:p>
    <w:p w14:paraId="6447B7B0" w14:textId="77777777" w:rsidR="005E64B6" w:rsidRDefault="005E64B6" w:rsidP="005E64B6">
      <w:r>
        <w:lastRenderedPageBreak/>
        <w:t>В Калининградской области тоже появится новая мера поддержки семей с детьми, которая начнёт действовать с 1 июля. Так, многодетные семьи в регионе, которым положен бесплатный земельный участок, смогут получить вместо него единовременную денежную выплату.</w:t>
      </w:r>
    </w:p>
    <w:p w14:paraId="2E5EC304" w14:textId="77777777" w:rsidR="005E64B6" w:rsidRDefault="005E64B6" w:rsidP="005E64B6">
      <w:r>
        <w:t>В ряде регионов пройдёт повышение уже действующих выплат. Так, с 1 июля 2025 года в Тамбовской области повысят на 4,7% целый ряд выплат семьям с детьми. В частности, вырастут ЕДВ, определённые пособия на детей и компенсации детям-сиротам.</w:t>
      </w:r>
    </w:p>
    <w:p w14:paraId="046C2F66" w14:textId="77777777" w:rsidR="005E64B6" w:rsidRDefault="005E64B6" w:rsidP="005E64B6">
      <w:r>
        <w:t>На Чукотке повысят социальные выплаты семьям оленеводов. Чтобы помочь людям, которые живут по традиционным обычаям и воспитывают детей в местах, где они пасут северных оленей, правительство региона установило ежегодные социальные выплаты. Семьи с детьми от 7 до 14 лет получат по 22 000 рублей в месяц, а с детьми от 14 до 18 лет - 44 000 рублей.</w:t>
      </w:r>
    </w:p>
    <w:p w14:paraId="4562FF59" w14:textId="77777777" w:rsidR="005E64B6" w:rsidRDefault="005E64B6" w:rsidP="005E64B6">
      <w:r>
        <w:t>На Ставрополье расширили категории получателей ежемесячной социальной выплаты. Так, поддержку будут получать представители младшего начальствующего состава краевых управлений ФСИН и вневедомственной охраны Войск национальной гвардии.</w:t>
      </w:r>
    </w:p>
    <w:p w14:paraId="01EAC204" w14:textId="77777777" w:rsidR="005E64B6" w:rsidRDefault="005E64B6" w:rsidP="005E64B6">
      <w:r>
        <w:t>В Красноярском крае семьи с детьми смогут не подавать заявления для получения социальной поддержки, если у них есть необходимые документы. Что касается ежегодного пособия на детей-школьников, то в регионе будут формировать выплатные списки в июле, а перечислять деньги в августе. Если семье нужно получить выплату раньше, то она может обратиться за мерой социальной поддержки, подав заявление.</w:t>
      </w:r>
    </w:p>
    <w:p w14:paraId="2621CE46" w14:textId="77777777" w:rsidR="005E64B6" w:rsidRDefault="005E64B6" w:rsidP="005E64B6">
      <w:r>
        <w:t>Также в Социальном фонде напомнили, что с 2026 года СФР будет устанавливать региональные соцдоплаты к пенсии. Это сделает проще систему назначения выплат, а также снимет нагрузку со служб соцзащиты. Так, сейчас региональная доплата нередко приходит отдельно от основной пенсии. Получается путаница, и усложняется процедура учёта доходов. Пенсионерам нужно учитывать два разных поступления. После того как нововведение вступит в силу, все выплаты будут приходить одновременно.</w:t>
      </w:r>
    </w:p>
    <w:p w14:paraId="79F31D75" w14:textId="77777777" w:rsidR="007A5DD0" w:rsidRPr="009A3D09" w:rsidRDefault="005E64B6" w:rsidP="005E64B6">
      <w:hyperlink r:id="rId36" w:history="1">
        <w:r w:rsidRPr="00BD0F8C">
          <w:rPr>
            <w:rStyle w:val="a3"/>
          </w:rPr>
          <w:t>https://life.ru/p/1765040</w:t>
        </w:r>
      </w:hyperlink>
      <w:r w:rsidRPr="009A3D09">
        <w:t xml:space="preserve"> </w:t>
      </w:r>
    </w:p>
    <w:p w14:paraId="13F43017" w14:textId="77777777" w:rsidR="005E64B6" w:rsidRDefault="005E64B6" w:rsidP="005E64B6">
      <w:pPr>
        <w:pStyle w:val="2"/>
      </w:pPr>
      <w:bookmarkStart w:id="105" w:name="_Toc201901952"/>
      <w:r>
        <w:t>Клео.Ру, 27.06.2025</w:t>
      </w:r>
      <w:r w:rsidRPr="005E64B6">
        <w:t xml:space="preserve">, </w:t>
      </w:r>
      <w:r>
        <w:t>Пенсия за август 2025 - график выплат на карту Сбербанка</w:t>
      </w:r>
      <w:bookmarkEnd w:id="105"/>
    </w:p>
    <w:p w14:paraId="19E58CFE" w14:textId="77777777" w:rsidR="005E64B6" w:rsidRDefault="005E64B6" w:rsidP="001C58EA">
      <w:pPr>
        <w:pStyle w:val="3"/>
      </w:pPr>
      <w:bookmarkStart w:id="106" w:name="_Toc201901953"/>
      <w:r>
        <w:t>Каждому получателю пенсии важно заранее понимать сроки поступления выплат. Задержки и отклонения могут вызвать множество неудобств. Даже если изменения незначительные, стоит учитывать их в своих планах. График выплаты пенсии за август 2025 года поможет определить, когда примерно поступят деньги на карту Сбербанка.</w:t>
      </w:r>
      <w:bookmarkEnd w:id="106"/>
    </w:p>
    <w:p w14:paraId="165EAD50" w14:textId="77777777" w:rsidR="005E64B6" w:rsidRDefault="005E64B6" w:rsidP="005E64B6">
      <w:r>
        <w:t>Доступные способы получения пенсии</w:t>
      </w:r>
    </w:p>
    <w:p w14:paraId="492BA303" w14:textId="77777777" w:rsidR="005E64B6" w:rsidRDefault="005E64B6" w:rsidP="005E64B6">
      <w:r>
        <w:t xml:space="preserve">Актуальное российское законодательство предусматривает несколько вариантов получения пенсионных выплат. Каждый из них имеет собственные преимущества и недостатки, которые обязательно стоит учитывать. Пенсионер имеет право самостоятельно выбрать предпочтительный вариант из доступных по закону.  </w:t>
      </w:r>
    </w:p>
    <w:p w14:paraId="2A1998D6" w14:textId="77777777" w:rsidR="005E64B6" w:rsidRDefault="005E64B6" w:rsidP="005E64B6">
      <w:r>
        <w:t>•</w:t>
      </w:r>
      <w:r>
        <w:tab/>
        <w:t xml:space="preserve">Через отделения почтовой связи. Этот традиционный способ используется еще с тех времен, когда о получении пенсии на собственный банковский счет можно было </w:t>
      </w:r>
      <w:r>
        <w:lastRenderedPageBreak/>
        <w:t xml:space="preserve">только мечтать. Выплаты можно получать непосредственно в отделении, которое обслуживает адрес проживания пенсионера, или оформить доставку почтальоном, если состояние здоровья не позволяет забирать деньги самостоятельно. Стоит учитывать высокую вероятность задержек в сроках доставки, особенно в отдаленных населенных пунктах или при нехватке сотрудников. </w:t>
      </w:r>
    </w:p>
    <w:p w14:paraId="33090F0D" w14:textId="77777777" w:rsidR="005E64B6" w:rsidRDefault="005E64B6" w:rsidP="005E64B6">
      <w:r>
        <w:t>•</w:t>
      </w:r>
      <w:r>
        <w:tab/>
        <w:t xml:space="preserve">На банковскую карту. Этот способ сегодня является наиболее быстрым и безопасным. Пенсия поступает на банковский счет пенсионера в считанные часы после отправки Социальным фондом. После этого деньгами можно распоряжаться по собственному усмотрению – снять наличные в банкомате или отделении банка, оплатить товары и услуги онлайн, рассчитаться за покупки в магазине или перевести другим людям. Традиционно основным банком по обслуживанию пенсионных клиентов является Сбербанк. Однако можно выбирать и другие финансовые организации по собственному усмотрению, если они имеют лицензию на такой вид деятельности. </w:t>
      </w:r>
    </w:p>
    <w:p w14:paraId="7D93403C" w14:textId="77777777" w:rsidR="005E64B6" w:rsidRDefault="005E64B6" w:rsidP="005E64B6">
      <w:r>
        <w:t>Каждый пенсионер имеет возможность самостоятельно выбрать, как и где ему удобнее получать пенсию. Чтобы изменить способ доставки, необходимо подать заявление в Социальный фонд. Это можно сделать непосредственно в территориальном отделении СФР или воспользоваться услугами МФЦ. Также имеется возможность обратиться и подать документы онлайн – в личном кабинете на сайте Соцфонда или через портал "Госуслуги".</w:t>
      </w:r>
    </w:p>
    <w:p w14:paraId="151427D3" w14:textId="77777777" w:rsidR="005E64B6" w:rsidRDefault="005E64B6" w:rsidP="005E64B6">
      <w:r>
        <w:t>Когда придет пенсия за август 2025 года: график</w:t>
      </w:r>
    </w:p>
    <w:p w14:paraId="41487E07" w14:textId="77777777" w:rsidR="005E64B6" w:rsidRDefault="005E64B6" w:rsidP="005E64B6">
      <w:r>
        <w:t>Большинство пенсионных выплат россиян не отличаются большими размерами, поэтому для грамотного управления личным бюджетом и экономии важно понимать, в какие дни ожидать поступления выплат. Законодательством установлены сроки и порядок действий, в рамках которых государственные структуры обязаны перевести деньги.</w:t>
      </w:r>
    </w:p>
    <w:p w14:paraId="1517AB1C" w14:textId="77777777" w:rsidR="005E64B6" w:rsidRDefault="005E64B6" w:rsidP="005E64B6">
      <w:r>
        <w:t>Если день выплат приходится на праздник или выходной, то перевод осуществляется не позднее предыдущего рабочего дня. График выплаты пенсии показывает, когда ожидается поступление денег в августе 2025 года на карту Сбербанка с учетом возможных законных переносов.</w:t>
      </w:r>
    </w:p>
    <w:p w14:paraId="480C1F79" w14:textId="77777777" w:rsidR="005E64B6" w:rsidRDefault="005E64B6" w:rsidP="005E64B6">
      <w:r>
        <w:t>Самый быстрый, стабильный и безопасный способ получения выплат – это зачисление на банковский счет. Но даже это не гарантирует отсутствие задержек по срокам из-за технических сбоев. Впрочем, помимо этого могут быть и другие причины, почему деньги не пришли вовремя.</w:t>
      </w:r>
    </w:p>
    <w:p w14:paraId="142037AE" w14:textId="77777777" w:rsidR="005E64B6" w:rsidRDefault="005E64B6" w:rsidP="005E64B6">
      <w:r>
        <w:t>Причины задержек выплаты пенсии</w:t>
      </w:r>
    </w:p>
    <w:p w14:paraId="3304D611" w14:textId="77777777" w:rsidR="005E64B6" w:rsidRDefault="005E64B6" w:rsidP="005E64B6">
      <w:r>
        <w:t xml:space="preserve">Если пенсия не приходит на карту вовремя, это всегда вызывает беспокойство. У лиц старшего возраста переживания могут вызвать дополнительно проблемы со здоровьем и плохое самочувствие. Предлагаем разобраться в основных причинах задержек и понять, как действовать в различных ситуациях:  </w:t>
      </w:r>
    </w:p>
    <w:p w14:paraId="5B952B6E" w14:textId="77777777" w:rsidR="005E64B6" w:rsidRDefault="005E64B6" w:rsidP="005E64B6">
      <w:r>
        <w:t>•</w:t>
      </w:r>
      <w:r>
        <w:tab/>
        <w:t xml:space="preserve">Технические сбои в банке или СФР. Даже самые современные и продвинутые системы не защищены от аппаратных проблем. Обычно технические сбои устраняются в течение нескольких часов, и получатели пенсии могут даже не ощутить такие ситуации на себе. Впрочем, в случае более сложных проблем задержки могут составить 2-3 дня. При этом пенсионерам не нужно делать никаких дополнительных действий, лишь дождаться благополучного разрешения ситуации. </w:t>
      </w:r>
    </w:p>
    <w:p w14:paraId="04B01253" w14:textId="77777777" w:rsidR="005E64B6" w:rsidRDefault="005E64B6" w:rsidP="005E64B6">
      <w:r>
        <w:lastRenderedPageBreak/>
        <w:t>•</w:t>
      </w:r>
      <w:r>
        <w:tab/>
        <w:t xml:space="preserve">Расхождения в данных. Если информация о пенсионере в базе Социального фонда отличается от той, которая записана в документах, выплаты могут приостановить до устранения ошибок. Как правило, об этом сообщают заранее, чтобы не возникало задержек. Получателям выплат необходимо предоставить запрашиваемые данные в территориальное отделение СФР. </w:t>
      </w:r>
    </w:p>
    <w:p w14:paraId="71BBBB30" w14:textId="77777777" w:rsidR="005E64B6" w:rsidRDefault="005E64B6" w:rsidP="005E64B6">
      <w:r>
        <w:t>•</w:t>
      </w:r>
      <w:r>
        <w:tab/>
        <w:t xml:space="preserve">Окончание срока действия документов. Если вместо пенсионера деньги будут получать третьи лица (например, родственники или социальные работники), для этого потребуется доверенность. Этот документ действует ограниченное время – 1 год, а после его окончания необходимо составить новый. Если этого не было сделано, то получить деньги сможет только сам пенсионер. </w:t>
      </w:r>
    </w:p>
    <w:p w14:paraId="4A0913C0" w14:textId="77777777" w:rsidR="005E64B6" w:rsidRDefault="005E64B6" w:rsidP="005E64B6">
      <w:r>
        <w:t>•</w:t>
      </w:r>
      <w:r>
        <w:tab/>
        <w:t xml:space="preserve">Не подтверждено место проживания. Пенсионеры, которые живут за границей длительное время, но получают выплаты через консульство, должны ежегодно подтверждать свою регистрацию на территории РФ. Если этого не будет сделано вовремя, то пенсию могут приостановить. </w:t>
      </w:r>
    </w:p>
    <w:p w14:paraId="59479B91" w14:textId="77777777" w:rsidR="005E64B6" w:rsidRDefault="005E64B6" w:rsidP="005E64B6">
      <w:r>
        <w:t>•</w:t>
      </w:r>
      <w:r>
        <w:tab/>
        <w:t xml:space="preserve">Перенос сроков выплат. В отдельных случаях СФР может самостоятельно перенести дату пенсии на другое время, о чем обязан уведомить заранее. На практике такое оповещение происходит очень редко. Актуальность дат можно проверить в личном кабинете на сайте Социального фонда. </w:t>
      </w:r>
    </w:p>
    <w:p w14:paraId="2B27FC51" w14:textId="77777777" w:rsidR="005E64B6" w:rsidRDefault="005E64B6" w:rsidP="005E64B6">
      <w:r>
        <w:t>•</w:t>
      </w:r>
      <w:r>
        <w:tab/>
        <w:t xml:space="preserve">Особенности работы почтовых отделений. Если пенсия доставляется почтальоном, то задержки могут быть связаны с графиком работы, отсутствием достаточного количества работников и даже человеческим фактором. </w:t>
      </w:r>
    </w:p>
    <w:p w14:paraId="380785D2" w14:textId="77777777" w:rsidR="005E64B6" w:rsidRDefault="005E64B6" w:rsidP="005E64B6">
      <w:r>
        <w:t>Если задержки возникают регулярно, то это может быть вызвано сочетанием нескольких причин. В таком случае стоит обратиться в территориальное отделение СФР лично или на горячую линию. Сотрудники Фонда помогут определить причину проблемы и, если возможно, устранить ее.</w:t>
      </w:r>
    </w:p>
    <w:p w14:paraId="13A58D54" w14:textId="77777777" w:rsidR="005E64B6" w:rsidRDefault="005E64B6" w:rsidP="005E64B6">
      <w:r>
        <w:t>Будет ли повышение пенсии в августе 2025 года?</w:t>
      </w:r>
    </w:p>
    <w:p w14:paraId="512B804B" w14:textId="77777777" w:rsidR="005E64B6" w:rsidRDefault="005E64B6" w:rsidP="005E64B6">
      <w:r>
        <w:t>Как правило, основная часть российских пенсионеров получает очень небольшие выплаты. Поэтому любые надбавки, индексации и другие повышения, увеличивающие итоговую сумму, воспринимаются положительно и помогают поддерживать покупательную способность.</w:t>
      </w:r>
    </w:p>
    <w:p w14:paraId="0CE5A09B" w14:textId="77777777" w:rsidR="005E64B6" w:rsidRDefault="005E64B6" w:rsidP="005E64B6">
      <w:r>
        <w:t>График повышения выплат показывает, что в августе 2025 года не будет очередной индексации. Впрочем, возможны индивидуальные надбавки в рамках конкретных регионов. Точную информацию при реализации таких изменений сообщат местные органы власти.</w:t>
      </w:r>
    </w:p>
    <w:p w14:paraId="604F083D" w14:textId="77777777" w:rsidR="005E64B6" w:rsidRDefault="005E64B6" w:rsidP="005E64B6">
      <w:r>
        <w:t>Главные изменения августа 2025 года затронут работающих пенсионеров. С 1 числа им будет произведен перерасчет в зависимости от количества заработанных баллов за предыдущий год. Согласно информации от депутатов Госдумы РФ, ориентировочный размер повышения составит 3 пенсионных балла, что соответствует примерно 450 рублям. Однако точная сумма будет определяться индивидуально – в зависимости от трудового стажа и уровня заработка.</w:t>
      </w:r>
    </w:p>
    <w:p w14:paraId="52FBF343" w14:textId="77777777" w:rsidR="005E64B6" w:rsidRDefault="005E64B6" w:rsidP="005E64B6">
      <w:r>
        <w:t>Подведем итог</w:t>
      </w:r>
    </w:p>
    <w:p w14:paraId="26B028C8" w14:textId="77777777" w:rsidR="005E64B6" w:rsidRDefault="005E64B6" w:rsidP="005E64B6">
      <w:r>
        <w:t xml:space="preserve">График выплат за август 2025 года показывает сроки поступления пенсии на карту Сбербанка и помогает более точно планировать свои расходы. Главные изменения этого </w:t>
      </w:r>
      <w:r>
        <w:lastRenderedPageBreak/>
        <w:t>месяца затронут лишь работающих пенсионеров – им, по традиции, добавят баллы ИПК, заработанные за предыдущий год.</w:t>
      </w:r>
    </w:p>
    <w:p w14:paraId="4F195985" w14:textId="77777777" w:rsidR="005E64B6" w:rsidRPr="005E64B6" w:rsidRDefault="005E64B6" w:rsidP="005E64B6">
      <w:hyperlink r:id="rId37" w:history="1">
        <w:r w:rsidRPr="00BD0F8C">
          <w:rPr>
            <w:rStyle w:val="a3"/>
          </w:rPr>
          <w:t>https://www.kleo.ru/items/career/pensiya-avgust-2025-grafik-vyiplat-na-kartu-sberbanka.shtml</w:t>
        </w:r>
      </w:hyperlink>
      <w:r>
        <w:t xml:space="preserve"> </w:t>
      </w:r>
    </w:p>
    <w:p w14:paraId="1A8C2D7E" w14:textId="77777777" w:rsidR="005E64B6" w:rsidRPr="005E64B6" w:rsidRDefault="005E64B6" w:rsidP="005E64B6"/>
    <w:p w14:paraId="0EB9FD03" w14:textId="77777777" w:rsidR="00111D7C" w:rsidRPr="0019113B" w:rsidRDefault="00111D7C" w:rsidP="00111D7C">
      <w:pPr>
        <w:pStyle w:val="10"/>
      </w:pPr>
      <w:bookmarkStart w:id="107" w:name="_Toc99318655"/>
      <w:bookmarkStart w:id="108" w:name="_Toc165991075"/>
      <w:bookmarkStart w:id="109" w:name="_Toc201901954"/>
      <w:r w:rsidRPr="0019113B">
        <w:t>Региональные СМИ</w:t>
      </w:r>
      <w:bookmarkEnd w:id="43"/>
      <w:bookmarkEnd w:id="107"/>
      <w:bookmarkEnd w:id="108"/>
      <w:bookmarkEnd w:id="109"/>
    </w:p>
    <w:p w14:paraId="102C2573" w14:textId="77777777" w:rsidR="004F5853" w:rsidRDefault="004F5853" w:rsidP="004F5853">
      <w:pPr>
        <w:pStyle w:val="2"/>
      </w:pPr>
      <w:bookmarkStart w:id="110" w:name="_Toc201901955"/>
      <w:r>
        <w:t>Агентство экономических новостей</w:t>
      </w:r>
      <w:r w:rsidRPr="004F5853">
        <w:t xml:space="preserve">, 26.06.2025, </w:t>
      </w:r>
      <w:r>
        <w:t>В Абхазии с 1 июля вырастут пенсии</w:t>
      </w:r>
      <w:bookmarkEnd w:id="110"/>
    </w:p>
    <w:p w14:paraId="08A55997" w14:textId="77777777" w:rsidR="004F5853" w:rsidRDefault="004F5853" w:rsidP="004F5853">
      <w:pPr>
        <w:pStyle w:val="3"/>
      </w:pPr>
      <w:bookmarkStart w:id="111" w:name="_Toc201901956"/>
      <w:r>
        <w:t>Власти Абхазии утвердили повышение пенсий с 1 июля для граждан республики, не получающих российские пенсионные выплаты. Размер доплаты составит 1 000 рублей в месяц для всех категорий пенсионеров. Об этом пишет «Сочи Онлайн».</w:t>
      </w:r>
      <w:bookmarkEnd w:id="111"/>
    </w:p>
    <w:p w14:paraId="4A6A9ACB" w14:textId="77777777" w:rsidR="004F5853" w:rsidRDefault="004F5853" w:rsidP="004F5853">
      <w:r>
        <w:t>После индексации обычные пенсионеры по возрасту получат 5 000 рублей, за выслугу лет — 4 700 рублей. Обладатели званий «народный» и «заслуженный» получат 5 500 рублей, шахтеры — 4 500 рублей.</w:t>
      </w:r>
    </w:p>
    <w:p w14:paraId="76C14CA3" w14:textId="77777777" w:rsidR="004F5853" w:rsidRDefault="004F5853" w:rsidP="004F5853">
      <w:r>
        <w:t>Инвалиды труда I группы получат 4 900 рублей, II группы — 4 000 рублей, III группы — 4 650 рублей.</w:t>
      </w:r>
    </w:p>
    <w:p w14:paraId="70A602D2" w14:textId="77777777" w:rsidR="004F5853" w:rsidRDefault="004F5853" w:rsidP="004F5853">
      <w:r>
        <w:t>Кроме того, пенсии по потере кормильца составят 4 000 рублей, круглые сироты получат 8 000 рублей. Социальные пенсии по возрасту и инвалидности зафиксированы на уровне 4 100 рублей.</w:t>
      </w:r>
    </w:p>
    <w:p w14:paraId="2BC72B00" w14:textId="77777777" w:rsidR="004F5853" w:rsidRDefault="004F5853" w:rsidP="004F5853">
      <w:r>
        <w:t>Для инвалидов с детства I группы предусмотрена пенсия в 6 000 рублей, II группы — 5 500 рублей.</w:t>
      </w:r>
    </w:p>
    <w:p w14:paraId="12C96A75" w14:textId="77777777" w:rsidR="004F5853" w:rsidRDefault="004F5853" w:rsidP="004F5853">
      <w:r>
        <w:t>По словам главы министерства социального обеспечения республики Руслана Аджбы, расходы бюджета на увеличение пенсий составят 16 млн рублей в месяц или 192 млн рублей в год.</w:t>
      </w:r>
    </w:p>
    <w:p w14:paraId="5405BA9B" w14:textId="77777777" w:rsidR="00111D7C" w:rsidRDefault="004F5853" w:rsidP="004F5853">
      <w:r>
        <w:t>Ранее экономист Игорь Балынин рассказал, как отсрочка выхода на пенсию может увеличить ее размер в два раза.</w:t>
      </w:r>
    </w:p>
    <w:p w14:paraId="7AD4BDAC" w14:textId="77777777" w:rsidR="004F5853" w:rsidRDefault="004F5853" w:rsidP="004F5853">
      <w:hyperlink r:id="rId38" w:history="1">
        <w:r w:rsidRPr="00BD0F8C">
          <w:rPr>
            <w:rStyle w:val="a3"/>
          </w:rPr>
          <w:t>https://www.myeconomy.ru/obshhestvo/v-abhazii-s-1-iyulya-vyrastut-pensii/</w:t>
        </w:r>
      </w:hyperlink>
      <w:r w:rsidRPr="004F5853">
        <w:t xml:space="preserve"> </w:t>
      </w:r>
    </w:p>
    <w:p w14:paraId="4E7D68DE" w14:textId="77777777" w:rsidR="00807345" w:rsidRPr="00807345" w:rsidRDefault="008C4BA7" w:rsidP="008C4BA7">
      <w:pPr>
        <w:pStyle w:val="2"/>
      </w:pPr>
      <w:bookmarkStart w:id="112" w:name="_Toc201901957"/>
      <w:r>
        <w:t>Вечерняя Казань</w:t>
      </w:r>
      <w:r w:rsidRPr="008C4BA7">
        <w:t xml:space="preserve">, 26.06.2025, </w:t>
      </w:r>
      <w:r w:rsidR="00807345" w:rsidRPr="00807345">
        <w:t>Свыше 3 тысяч татарстанцев получили выплаты из пенсионных накоплений</w:t>
      </w:r>
      <w:bookmarkEnd w:id="112"/>
    </w:p>
    <w:p w14:paraId="3C2CF061" w14:textId="77777777" w:rsidR="00807345" w:rsidRPr="00807345" w:rsidRDefault="00807345" w:rsidP="00807345">
      <w:pPr>
        <w:pStyle w:val="3"/>
      </w:pPr>
      <w:bookmarkStart w:id="113" w:name="_Toc201901958"/>
      <w:r w:rsidRPr="00807345">
        <w:t>В Татарстане 3458 жителей получили выплаты из своих пенсионных накоплений, об этом сообщили в Социальном фонде республики.</w:t>
      </w:r>
      <w:bookmarkEnd w:id="113"/>
    </w:p>
    <w:p w14:paraId="230E8A03" w14:textId="77777777" w:rsidR="00807345" w:rsidRPr="00807345" w:rsidRDefault="00807345" w:rsidP="00807345">
      <w:r w:rsidRPr="00807345">
        <w:t>В 2025 году за средствами пенсионных накоплений могут обращаться женщины 1970 года рождения и мужчины 1965 года рождения, их можно получить в виде единовременной выплаты, срочной пенсионной выплаты или накопительной пенсии.</w:t>
      </w:r>
    </w:p>
    <w:p w14:paraId="7FD16795" w14:textId="77777777" w:rsidR="00807345" w:rsidRPr="00807345" w:rsidRDefault="00807345" w:rsidP="00807345">
      <w:r w:rsidRPr="00807345">
        <w:lastRenderedPageBreak/>
        <w:t>Средства пенсионных накоплений формируются у татарстанцев 1967 года рождения и моложе, за которых работодатели делали отчисления на накопительную пенсию в 2002–2013 годах; у мужчин 1953–1966 годов рождения и женщин 1957–1966 годов рождения, за которых в 2002–2004 годах работодатели перечисляли страховые взносы на накопительную пенсию. Также они формируются у участников программы софинансирования пенсии и у родителей, которые направили материнский капитал на свою накопительную пенсию.</w:t>
      </w:r>
    </w:p>
    <w:p w14:paraId="1F7FBECF" w14:textId="77777777" w:rsidR="00807345" w:rsidRPr="00807345" w:rsidRDefault="00807345" w:rsidP="00807345">
      <w:r w:rsidRPr="00807345">
        <w:t>Уточнить размер пенсионных накоплений и фонд, в котором они формируются, можно, заказав выписку из индивидуального лицевого счета на «Госуслугах», в клиентской службе Социального фонда или в МФЦ.</w:t>
      </w:r>
    </w:p>
    <w:p w14:paraId="02C7D276" w14:textId="77777777" w:rsidR="00807345" w:rsidRPr="00807345" w:rsidRDefault="00807345" w:rsidP="00807345">
      <w:r w:rsidRPr="00807345">
        <w:t>«В 2025 году в случае, если средства пенсионных накоплений превышает 411 750 рублей, они не могут быть выплачены единовременно, так как средства пенсионных накоплений превышают 10% суммы прожиточного минимума пенсионера», - сообщили в фонде.</w:t>
      </w:r>
    </w:p>
    <w:p w14:paraId="46E1A261" w14:textId="77777777" w:rsidR="00807345" w:rsidRPr="00807345" w:rsidRDefault="00807345" w:rsidP="00807345">
      <w:r w:rsidRPr="00807345">
        <w:t xml:space="preserve">Напомним, в Национальном НПФ, представленном в Татарстане, </w:t>
      </w:r>
      <w:hyperlink r:id="rId39" w:tgtFrame="_blank" w:history="1">
        <w:r w:rsidRPr="00807345">
          <w:rPr>
            <w:rStyle w:val="a3"/>
          </w:rPr>
          <w:t>отмечали</w:t>
        </w:r>
      </w:hyperlink>
      <w:r w:rsidRPr="00807345">
        <w:t>, что если забрать всю сумму сразу, то выплаты прекратятся. Ведь сейчас взносы формируют только страховую пенсию, а часть отчислений работодателей шла на накопительную только до 2014 года. В среднем у клиентов фонда хранится чуть более 96 тысяч рублей. В НПФ «Волга-Капитал» средний размер счета - 94,1 тысячи рублей.</w:t>
      </w:r>
    </w:p>
    <w:p w14:paraId="591F2ED8" w14:textId="77777777" w:rsidR="00807345" w:rsidRPr="00807345" w:rsidRDefault="00807345" w:rsidP="00807345">
      <w:r w:rsidRPr="00807345">
        <w:t xml:space="preserve">Ранее </w:t>
      </w:r>
      <w:hyperlink r:id="rId40" w:tgtFrame="_blank" w:history="1">
        <w:r w:rsidRPr="00807345">
          <w:rPr>
            <w:rStyle w:val="a3"/>
          </w:rPr>
          <w:t>сообщалось</w:t>
        </w:r>
      </w:hyperlink>
      <w:r w:rsidRPr="00807345">
        <w:t>, что ежегодно средний размер пенсии рассчитывается по новым правилам. Как рассчитать его в 2025 году, объяснила доцент кафедры экологического, трудового права и гражданского процесса юридического факультета Казанского федерального университета Алсу Каримуллина. По ее словам, нужно знать свой индивидуальный пенсионный коэффициент, который по-другому называют баллами. Его можно посмотреть на сайте «Госуслуги» в разделе «Выписка из лицевого счета в СФР». Коэффициент зависит от страхового стажа и страховых отчислений. Размер пенсии вычисляется так: ИПК необходимо умножить на стоимость одного пенсионного коэффициента.</w:t>
      </w:r>
    </w:p>
    <w:p w14:paraId="1C54E984" w14:textId="77777777" w:rsidR="00807345" w:rsidRPr="008C4BA7" w:rsidRDefault="008C4BA7" w:rsidP="00807345">
      <w:hyperlink r:id="rId41" w:history="1">
        <w:r w:rsidRPr="00BD0F8C">
          <w:rPr>
            <w:rStyle w:val="a3"/>
          </w:rPr>
          <w:t>https://www.evening-kazan.ru/ekonomika/news/svyshe-3-tysyach-tatarstancev-poluchili-vyplaty-iz-pensionnyh-nakopleniy</w:t>
        </w:r>
      </w:hyperlink>
      <w:r w:rsidRPr="008C4BA7">
        <w:t xml:space="preserve"> </w:t>
      </w:r>
    </w:p>
    <w:p w14:paraId="008F26A7" w14:textId="77777777" w:rsidR="00807345" w:rsidRPr="004F5853" w:rsidRDefault="00807345" w:rsidP="004F5853"/>
    <w:p w14:paraId="0ECA82E7" w14:textId="77777777" w:rsidR="00111D7C" w:rsidRPr="0019113B" w:rsidRDefault="00111D7C" w:rsidP="00111D7C">
      <w:pPr>
        <w:pStyle w:val="251"/>
      </w:pPr>
      <w:bookmarkStart w:id="114" w:name="_Toc99271704"/>
      <w:bookmarkStart w:id="115" w:name="_Toc99318656"/>
      <w:bookmarkStart w:id="116" w:name="_Toc165991076"/>
      <w:bookmarkStart w:id="117" w:name="_Toc62681899"/>
      <w:bookmarkStart w:id="118" w:name="_Toc201901959"/>
      <w:bookmarkEnd w:id="24"/>
      <w:bookmarkEnd w:id="25"/>
      <w:bookmarkEnd w:id="26"/>
      <w:r w:rsidRPr="0019113B">
        <w:lastRenderedPageBreak/>
        <w:t>НОВОСТИ МАКРОЭКОНОМИКИ</w:t>
      </w:r>
      <w:bookmarkEnd w:id="114"/>
      <w:bookmarkEnd w:id="115"/>
      <w:bookmarkEnd w:id="116"/>
      <w:bookmarkEnd w:id="118"/>
    </w:p>
    <w:p w14:paraId="0A0C8E2C" w14:textId="77777777" w:rsidR="00D9250A" w:rsidRPr="0019113B" w:rsidRDefault="00D9250A" w:rsidP="00D9250A">
      <w:pPr>
        <w:pStyle w:val="2"/>
      </w:pPr>
      <w:bookmarkStart w:id="119" w:name="_Toc201901960"/>
      <w:r w:rsidRPr="0019113B">
        <w:t>Известия, 26.06.2025, Трудовой возраст: предпенсионеров стали вдвое чаще звать на работу</w:t>
      </w:r>
      <w:bookmarkEnd w:id="119"/>
    </w:p>
    <w:p w14:paraId="1EB6DA15" w14:textId="77777777" w:rsidR="00D9250A" w:rsidRPr="0019113B" w:rsidRDefault="00D9250A" w:rsidP="0097376F">
      <w:pPr>
        <w:pStyle w:val="3"/>
      </w:pPr>
      <w:bookmarkStart w:id="120" w:name="_Toc201901961"/>
      <w:r w:rsidRPr="0019113B">
        <w:t>Компании стали чаще звать на работу граждан старше 50 лет. Число приглашений в 2025 году выросло вдвое — до 5 млн, выяснили «Известия». Причина — в дефиците кадров на фоне демографической ямы и рекордно низкой безработицы. Это имеет ключевое значение на фоне заявлений президента на ПМЭФ о необходимости снижать уровень бедности, который особенно высок среди пожилых людей — работая перед пенсией, людям будет проще накопить на достойную старость. Впрочем, предпенсионеры все равно чаще сталкиваются с проблемами при найме, чем более молодые специалисты. На какие должности их в основном зовут — в материале «Известий».</w:t>
      </w:r>
      <w:bookmarkEnd w:id="120"/>
    </w:p>
    <w:p w14:paraId="67D91A47" w14:textId="77777777" w:rsidR="00D9250A" w:rsidRPr="0019113B" w:rsidRDefault="00D9250A" w:rsidP="00D9250A">
      <w:r w:rsidRPr="0019113B">
        <w:t>Как найти работу после 50 лет</w:t>
      </w:r>
    </w:p>
    <w:p w14:paraId="0ED1F24C" w14:textId="77777777" w:rsidR="00D9250A" w:rsidRPr="0019113B" w:rsidRDefault="00D9250A" w:rsidP="00D9250A">
      <w:r w:rsidRPr="0019113B">
        <w:t>Число приглашений на работу, отправленных соискателям в возрасте старше 50 лет, выросло за первые пять месяцев 2025-го на 95% — до 5,1 млн. Это следует из данных hh.ru, которые провели подсчеты специально для «Известий». Впрочем, доля таких приглашений в масштабах всего рынка выросла незначительно — с 3,6% до 4%. Всего за первые месяцы 2025-го компании направили порядка 130 млн приглашений — при этом около половины из них приходится на тех, кому от 19 до 30 лет (42%).</w:t>
      </w:r>
    </w:p>
    <w:p w14:paraId="2748F6F9" w14:textId="77777777" w:rsidR="00D9250A" w:rsidRPr="0019113B" w:rsidRDefault="00D9250A" w:rsidP="00D9250A">
      <w:r w:rsidRPr="0019113B">
        <w:t>Согласно данным рекрутинговой платформы, чаще всего соискателей предпенсионного возраста приглашают на должности рабочего и обслуживающего персонала, в сферы логистики, продаж, строительства, недвижимости и производства.</w:t>
      </w:r>
    </w:p>
    <w:p w14:paraId="35376C20" w14:textId="77777777" w:rsidR="00D9250A" w:rsidRPr="0019113B" w:rsidRDefault="00D9250A" w:rsidP="00D9250A">
      <w:r w:rsidRPr="0019113B">
        <w:t>Повышенный интерес к кандидатам зрелого возраста подтвердили и «Работе.ру». Их берут и на должности руководителей, и рядовых сотрудников.</w:t>
      </w:r>
    </w:p>
    <w:p w14:paraId="2A3BCDE9" w14:textId="77777777" w:rsidR="00D9250A" w:rsidRPr="0019113B" w:rsidRDefault="00D9250A" w:rsidP="00D9250A">
      <w:r w:rsidRPr="0019113B">
        <w:t>Как заявили «Известиям» во ВНИИ труда Минтруда, работодатели сейчас активно конкурируют за квалифицированные кадры, в том числе — старшего возраста. И речь идет не только о новом трудоустройстве, но и о сохранении места работы уже после наступления пенсионного возраста. В целом ситуация на рынке стимулирует работодателей создавать для них оптимальные условия, которые соответствуют их образованию и профессиональному опыту, добавили во ВНИИ труда.</w:t>
      </w:r>
    </w:p>
    <w:p w14:paraId="535725A8" w14:textId="77777777" w:rsidR="00D9250A" w:rsidRPr="0019113B" w:rsidRDefault="00D9250A" w:rsidP="00D9250A">
      <w:r w:rsidRPr="0019113B">
        <w:t>Причина повышенного интереса работодателей к людям предпенсионного возраста в дефиците кадров — этому способствовала в том числе демографическая ситуация, напомнила руководитель отдела макроэкономического анализа ФГ «Финам» Ольга Беленькая.</w:t>
      </w:r>
    </w:p>
    <w:p w14:paraId="514C78D8" w14:textId="77777777" w:rsidR="00D9250A" w:rsidRPr="0019113B" w:rsidRDefault="00D9250A" w:rsidP="00D9250A">
      <w:r w:rsidRPr="0019113B">
        <w:t>Кроме того, в последние годы и соискателей старше 50 лет стало больше. Увеличение числа более зрелых людей на рынке труда обусловлено особенностями пенсионной реформы, уверен старший научный сотрудник Центра ИНСАП ИПЭИ Президентской академии Виктор Ляшок. Например, в 2024-м пенсию начали получать те, кто без реформы мог рассчитывать на нее еще в 2021 году.</w:t>
      </w:r>
    </w:p>
    <w:p w14:paraId="7DC4D600" w14:textId="77777777" w:rsidR="00D9250A" w:rsidRPr="0019113B" w:rsidRDefault="00D9250A" w:rsidP="00D9250A">
      <w:r w:rsidRPr="0019113B">
        <w:t>Почему работники предпенсионного возраста лучше молодых</w:t>
      </w:r>
    </w:p>
    <w:p w14:paraId="0352AE8C" w14:textId="77777777" w:rsidR="00D9250A" w:rsidRPr="0019113B" w:rsidRDefault="00D9250A" w:rsidP="00D9250A">
      <w:r w:rsidRPr="0019113B">
        <w:lastRenderedPageBreak/>
        <w:t>Раньше работодатели предпочитали более молодых специалистов, поскольку предложений на рынке труда было достаточно, при этом они не требовали большого вознаграждения, обратила внимание доцент Базовой кафедры Торгово-промышленной палаты РФ «Управление человеческими ресурсами» РЭУ им. Г.В. Плеханова Людмила Иванова-Швец. Сейчас выбор не так велик и, принимая молодых работников, необходимо тратиться еще и на обучение и адаптацию, в то время как у опытных специалистов в этом нет необходимости.</w:t>
      </w:r>
    </w:p>
    <w:p w14:paraId="15FEDDBF" w14:textId="77777777" w:rsidR="00D9250A" w:rsidRPr="0019113B" w:rsidRDefault="00D9250A" w:rsidP="00D9250A">
      <w:r w:rsidRPr="0019113B">
        <w:t>Сейчас работодатели заинтересованы в удержании тех сотрудников, которые достигли нового пенсионного возраста, а в отраслях с наиболее острым кадровым дефицитом даже возвращают уже ушедших на заслуженный отдых работников, добавил Виктор Ляшок.</w:t>
      </w:r>
    </w:p>
    <w:p w14:paraId="6D8D944B" w14:textId="77777777" w:rsidR="00D9250A" w:rsidRPr="0019113B" w:rsidRDefault="00D9250A" w:rsidP="00D9250A">
      <w:r w:rsidRPr="0019113B">
        <w:t>— Если еще недавно после 40 лет было сложно найти работу, то сейчас у людей старше 50 лет больше шансов трудоустроиться. Если есть спрос на их компетенции, то есть и желание оставаться в компании, — подчеркнула Людмила Иванова-Швец.</w:t>
      </w:r>
    </w:p>
    <w:p w14:paraId="6B7F0305" w14:textId="77777777" w:rsidR="00D9250A" w:rsidRPr="0019113B" w:rsidRDefault="00D9250A" w:rsidP="00D9250A">
      <w:r w:rsidRPr="0019113B">
        <w:t>К тому же многие возрастные сотрудники сохраняют высокий уровень работоспособности и обладают такими преимуществами, как профессионализм, опыт, дисциплина и ответственность, добавила Ольга Беленькая из ФГ «Финам». Более того, они обычно менее требовательны к размеру зарплаты и более лояльны к работодателю. Молодежь при владении хорошими профессиональными навыками больше внимания обращает на гибкий график работы, соблюдение баланса с личной жизнью, при этом не всегда демонстрирует качественную глубину знаний, согласна Людмила Иванова-Швец.</w:t>
      </w:r>
    </w:p>
    <w:p w14:paraId="02A3C7BD" w14:textId="77777777" w:rsidR="00D9250A" w:rsidRPr="0019113B" w:rsidRDefault="00D9250A" w:rsidP="00D9250A">
      <w:r w:rsidRPr="0019113B">
        <w:t>— Тем не менее, хотя лояльность работодателей к соискателям 50+ возросла, трудоустройство для таких людей все равно остается более сложной задачей, нежели для других возрастов, — отметила директор по исследованиям hh.ru Мария Игнатова.</w:t>
      </w:r>
    </w:p>
    <w:p w14:paraId="603246F2" w14:textId="77777777" w:rsidR="00D9250A" w:rsidRPr="0019113B" w:rsidRDefault="00D9250A" w:rsidP="00D9250A">
      <w:r w:rsidRPr="0019113B">
        <w:t>Но ситуация неравномерна — все зависит от профессиональной области, признала она.</w:t>
      </w:r>
    </w:p>
    <w:p w14:paraId="03D88EFB" w14:textId="77777777" w:rsidR="00D9250A" w:rsidRPr="0019113B" w:rsidRDefault="00D9250A" w:rsidP="00D9250A">
      <w:r w:rsidRPr="0019113B">
        <w:t>Найм пожилых и проблема бедности</w:t>
      </w:r>
    </w:p>
    <w:p w14:paraId="25F1EE3B" w14:textId="77777777" w:rsidR="00D9250A" w:rsidRPr="0019113B" w:rsidRDefault="00D9250A" w:rsidP="00D9250A">
      <w:r w:rsidRPr="0019113B">
        <w:t>В целом активный найм людей предпенсионного возраста — полезная для экономики тенденция. Она позволяет снизить уровень бедности, а это сейчас — одна из важнейших задач государства. Тема стала одной из ключевых в выступлении президента на ПМЭФ-2025.</w:t>
      </w:r>
    </w:p>
    <w:p w14:paraId="4D4D0601" w14:textId="77777777" w:rsidR="00D9250A" w:rsidRPr="0019113B" w:rsidRDefault="00D9250A" w:rsidP="00D9250A">
      <w:r w:rsidRPr="0019113B">
        <w:t>Он заявил, что по итогам прошлого года бедность опустилась до 7,2%. Для сравнения: в 2000-м показатель составлял 29% — тогда в такой ситуации находились порядка 42,3 млн человек. А в I квартале этого года численность граждан с доходами ниже прожиточного минимума сократилась более чем на 2 млн по сравнению с аналогичным периодом 2023-го.</w:t>
      </w:r>
    </w:p>
    <w:p w14:paraId="1EEC3386" w14:textId="77777777" w:rsidR="00D9250A" w:rsidRPr="0019113B" w:rsidRDefault="00D9250A" w:rsidP="00D9250A">
      <w:r w:rsidRPr="0019113B">
        <w:t>Причем проблема острее стоит именно перед людьми старшего возраста.</w:t>
      </w:r>
    </w:p>
    <w:p w14:paraId="66816961" w14:textId="77777777" w:rsidR="00D9250A" w:rsidRPr="0019113B" w:rsidRDefault="00D9250A" w:rsidP="00D9250A">
      <w:r w:rsidRPr="0019113B">
        <w:t>— Многие пожилые люди вынуждены продолжать работать из-за недостатка пенсионных накоплений и растущих расходов на жизнь. Наибольшую уязвимость к бедности испытывают именно пожилые люди, особенно женщины. Это связано с тем, что они чаще получают низкие пенсии и сталкиваются с высокими расходами на медицинские услуги, — полагает руководитель информационного отдела Независимого профсоюза «Новый Труд» Мария Коледа.</w:t>
      </w:r>
    </w:p>
    <w:p w14:paraId="0DB495F1" w14:textId="77777777" w:rsidR="00D9250A" w:rsidRPr="0019113B" w:rsidRDefault="00D9250A" w:rsidP="00D9250A">
      <w:r w:rsidRPr="0019113B">
        <w:t xml:space="preserve">Основные причины — в гендерных стереотипах и неравной оплате за одинаковую работу, пояснила она. Ситуация усугубилась во время пандемии, когда необходимо было </w:t>
      </w:r>
      <w:r w:rsidRPr="0019113B">
        <w:lastRenderedPageBreak/>
        <w:t>совмещать работу и семейные обязанности, при этом зачастую рабочие места закрывали в секторах с преобладанием женщин.</w:t>
      </w:r>
    </w:p>
    <w:p w14:paraId="63E90103" w14:textId="77777777" w:rsidR="00D9250A" w:rsidRPr="0019113B" w:rsidRDefault="00D9250A" w:rsidP="00D9250A">
      <w:r w:rsidRPr="0019113B">
        <w:t>Государство предпринимает меры, чтобы снизить бедность среди старшего поколения. Например, с 1 января 2025-го власти вернули индексацию пенсий по старости для работающих пожилых людей, что вернуло на рынок труда высококвалифицированные кадры, напомнила директор Института экономики и финансов Государственного университета управления Галина Сорокина.</w:t>
      </w:r>
    </w:p>
    <w:p w14:paraId="7CD8AE59" w14:textId="77777777" w:rsidR="00D9250A" w:rsidRPr="0019113B" w:rsidRDefault="00D9250A" w:rsidP="00D9250A">
      <w:r w:rsidRPr="0019113B">
        <w:t>Вполне возможно, что рынок труда и далее будет более возрастным, полагает эксперт экономического факультета РУДН Татьяна Ушкац. Сейчас многие люди, вступающие в брак, решаются завести детей позже. По ее словам, для того чтобы поддержать их и себя, нужно работать, а пожилым людям достаточно сложно прожить на одну только пенсию.</w:t>
      </w:r>
    </w:p>
    <w:p w14:paraId="1FA57981" w14:textId="77777777" w:rsidR="00D9250A" w:rsidRDefault="00D9250A" w:rsidP="00D9250A">
      <w:hyperlink r:id="rId42" w:history="1">
        <w:r w:rsidRPr="0019113B">
          <w:rPr>
            <w:rStyle w:val="a3"/>
          </w:rPr>
          <w:t>https://iz.ru/1910549/olga-anaseva/trudovoj-vozrast-predpensionerov-stali-vdvoe-chashche-zvat-na-rabotu</w:t>
        </w:r>
      </w:hyperlink>
      <w:r w:rsidRPr="0019113B">
        <w:t xml:space="preserve"> </w:t>
      </w:r>
    </w:p>
    <w:p w14:paraId="2A33165E" w14:textId="77777777" w:rsidR="007F0F42" w:rsidRDefault="007F0F42" w:rsidP="007F0F42">
      <w:pPr>
        <w:pStyle w:val="2"/>
      </w:pPr>
      <w:bookmarkStart w:id="121" w:name="_Toc201901962"/>
      <w:r>
        <w:t>Известия, 27.06.2025</w:t>
      </w:r>
      <w:r w:rsidRPr="007F0F42">
        <w:t xml:space="preserve">, </w:t>
      </w:r>
      <w:r>
        <w:t>Держать в бонусе</w:t>
      </w:r>
      <w:bookmarkEnd w:id="121"/>
    </w:p>
    <w:p w14:paraId="04EDD916" w14:textId="77777777" w:rsidR="007F0F42" w:rsidRDefault="007F0F42" w:rsidP="007F0F42">
      <w:pPr>
        <w:pStyle w:val="3"/>
      </w:pPr>
      <w:bookmarkStart w:id="122" w:name="_Toc201901963"/>
      <w:r>
        <w:t>За последний год работодатели снизили размер премий или вообще перестали их выплачивать почти трети россиян, выяснили "Известия". Чаще всего на лишение бонусов жалуются менеджеры, айтишники и риелторы. На фоне повышения налогов и ключевой ставки у бизнеса не остаётся возможностей платить больше денег. Хотя дефицит кадров сохраняется, компании теперь привлекают и удерживают людей другими привилегиями - ДМС, обучением, корпоративными скидками и расширенным соцпакетом. К чему приведёт снижение денежных вознаграждений - в материале "Известий".</w:t>
      </w:r>
      <w:bookmarkEnd w:id="122"/>
    </w:p>
    <w:p w14:paraId="33ADD8AA" w14:textId="77777777" w:rsidR="007F0F42" w:rsidRDefault="007F0F42" w:rsidP="007F0F42">
      <w:r>
        <w:t>Каждому третьему работнику, который раньше получал премии, за последний год их урезали или вовсе перестали начислять. Это следует из июньского исследования hh.ru и НПФ "Эволюция" (есть у "Известий"). 20% опрошенных утверждают, что размер вознаграждения стал меньше, а 9% отмечают, что выплаты прекратились вообще.</w:t>
      </w:r>
    </w:p>
    <w:p w14:paraId="2F5DCA06" w14:textId="77777777" w:rsidR="007F0F42" w:rsidRDefault="007F0F42" w:rsidP="007F0F42">
      <w:r>
        <w:t>Среди профессиональных категорий чаще всего премии урезали или отменяли менеджерам, IT-специалистам, риелторам, а также работникам в сферах продаж, финансов и строительства. В топ-5 регионов, жители которых пожаловались на лишение бонусов, вошли Свердловская (42%), Новосибирская (36%), Самарская (32%) и Ростовская (31%) области, а также Республика Татарстан (32%).</w:t>
      </w:r>
    </w:p>
    <w:p w14:paraId="3C1C20F8" w14:textId="77777777" w:rsidR="007F0F42" w:rsidRDefault="007F0F42" w:rsidP="007F0F42">
      <w:r>
        <w:t>Как показали результаты опроса, самые высокие премии - у топ-менеджеров и руководителей среднего звена: каждый пятый из них получает бонус в размере 100% от оклада. 18% представителей IТ-отрасли отметили, что рассчитывают на "повышенную премию", но не уточнили, какую именно. Небольшие премии получают в транспортной отрасли, розничной торговле и научной сфере (в основном всего 10% от оклада).</w:t>
      </w:r>
    </w:p>
    <w:p w14:paraId="1E29AD4D" w14:textId="77777777" w:rsidR="007F0F42" w:rsidRDefault="007F0F42" w:rsidP="007F0F42">
      <w:r>
        <w:t>Тренд на снижение размеров премий или их отмену подтвердили и в "Работа.ру". "Известия" обратились в Минтруд и спросили, фиксирует ли ведомство такую тенденцию.</w:t>
      </w:r>
    </w:p>
    <w:p w14:paraId="3FEA2955" w14:textId="77777777" w:rsidR="007F0F42" w:rsidRDefault="007F0F42" w:rsidP="007F0F42">
      <w:r>
        <w:t xml:space="preserve">Компании сейчас во многом сокращают расходы на наём и персонал. До этого дефицит кадров на рынке труда и высокая конкуренция за соискателей существенно повысили ожидания людей, а также стоимость привлечения и содержания кадров, подчеркнул </w:t>
      </w:r>
      <w:r>
        <w:lastRenderedPageBreak/>
        <w:t>замгендиректора сервиса "Работа.ру", операционный директор "СберПодбора" Александр Ветерков. Но возможности бизнеса небезграничны.</w:t>
      </w:r>
    </w:p>
    <w:p w14:paraId="15406ADD" w14:textId="77777777" w:rsidR="007F0F42" w:rsidRDefault="007F0F42" w:rsidP="007F0F42">
      <w:r>
        <w:t>- Многие компании в погоне за специалистами вынужденно повышали фиксированные выплаты, а к 2025 году они достигли точки, когда финансовые рычаги как единственный способ мотивации больше не работают. Возможности манёвра сокращаются, особенно на фоне роста ключевой ставки и снижения доступности кредитного плеча - а это особенно чувствительно как раз для бизнеса, ориентированного на массовый потребительский спрос, - отметил директор по персоналу КРОС Дмитрий Дударев.</w:t>
      </w:r>
    </w:p>
    <w:p w14:paraId="6350509D" w14:textId="77777777" w:rsidR="007F0F42" w:rsidRDefault="007F0F42" w:rsidP="007F0F42">
      <w:r>
        <w:t>Как пояснил аналитик Freedom Finance Global Владимир Чернов, бонусы и переменная часть - это первое, на чём можно сэкономить без официального снижения окладов и формальных сокращений.</w:t>
      </w:r>
    </w:p>
    <w:p w14:paraId="1B3176F2" w14:textId="77777777" w:rsidR="007F0F42" w:rsidRDefault="007F0F42" w:rsidP="007F0F42">
      <w:r>
        <w:t>Бизнес теперь стремится оптимизировать процессы и повышать производительность труда. Снижение расходов на персонал помогает компаниям перераспределить бюджет в развитие и внедрение новых технологий, уточнил Александр Ветерков. При выплате премий работодатели часто исходят из возможностей своего бюджета, а не качества работы персонала, согласна доцент базовой кафедры ТПП РФ "Управление человеческими ресурсами" РЭУ им. Г.В. Плеханова Фарида Мирзабалаева.</w:t>
      </w:r>
    </w:p>
    <w:p w14:paraId="53ACE892" w14:textId="77777777" w:rsidR="007F0F42" w:rsidRDefault="007F0F42" w:rsidP="007F0F42">
      <w:r>
        <w:t>Вместе с тем свою роль сыграло введение прогрессивной ставки налогообложения, рассказал старший научный сотрудник Центра ИНСАП ИПЭИ Президентской академии Виктор Ляшок. Многие организации сдвинули выплаты премий по итогам года с первого квартала 2025 года на конец 2024-го. По данным Росстата, в прошлом декабре выплаты сотрудникам резко подскочили - на 11% по сравнению с аналогичным периодом 2023-го.</w:t>
      </w:r>
    </w:p>
    <w:p w14:paraId="2B630DE5" w14:textId="77777777" w:rsidR="007F0F42" w:rsidRDefault="007F0F42" w:rsidP="007F0F42">
      <w:r>
        <w:t>С юридической точки зрения премии в России могут быть как обязательными (если прописаны в трудовом договоре или положении о премировании), так и полностью дискреционными - то есть по усмотрению работодателя, обратил внимание Владимир Чернов. Именно поэтому компании часто оформляют бонусы как "необязательные", чтобы иметь гибкость в управлении фондами оплаты труда.</w:t>
      </w:r>
    </w:p>
    <w:p w14:paraId="1218D067" w14:textId="77777777" w:rsidR="007F0F42" w:rsidRDefault="007F0F42" w:rsidP="007F0F42">
      <w:r>
        <w:t>Кроме того, с 1 сентября 2025 года сумму премии можно будет уменьшить только в том месяце, в котором работник получил взыскание, напомнила Фарида Мирзабалаева из РЭУ им. Г.В. Плеханова. Снижение вознаграждений не должно приводить к уменьшению всей зарплаты за месяц более чем на 20%. Такая мера достаточно своевременная, потому что премии зачастую становятся инструментом манипулирования, несправедливого распределения между сотрудниками, добавила эксперт.</w:t>
      </w:r>
    </w:p>
    <w:p w14:paraId="5CFFBA76" w14:textId="77777777" w:rsidR="007F0F42" w:rsidRDefault="007F0F42" w:rsidP="007F0F42">
      <w:r>
        <w:t>Ольга Анасьева, Милана Гаджиева</w:t>
      </w:r>
    </w:p>
    <w:p w14:paraId="59A11FCD" w14:textId="77777777" w:rsidR="00D20E81" w:rsidRDefault="00D20E81" w:rsidP="00D20E81">
      <w:pPr>
        <w:pStyle w:val="2"/>
      </w:pPr>
      <w:bookmarkStart w:id="123" w:name="_Toc201901964"/>
      <w:r>
        <w:lastRenderedPageBreak/>
        <w:t>Известия,</w:t>
      </w:r>
      <w:r w:rsidRPr="009A3D09">
        <w:t xml:space="preserve"> </w:t>
      </w:r>
      <w:r>
        <w:t>27.06.2025</w:t>
      </w:r>
      <w:r w:rsidRPr="009A3D09">
        <w:t xml:space="preserve">, </w:t>
      </w:r>
      <w:r>
        <w:t>Ставить на банки</w:t>
      </w:r>
      <w:bookmarkEnd w:id="123"/>
    </w:p>
    <w:p w14:paraId="154DDAA2" w14:textId="77777777" w:rsidR="00D20E81" w:rsidRDefault="00D20E81" w:rsidP="00D20E81">
      <w:pPr>
        <w:pStyle w:val="3"/>
      </w:pPr>
      <w:bookmarkStart w:id="124" w:name="_Toc201901965"/>
      <w:r>
        <w:t>Совокупный ВВП участников Евразийского экономического союза увеличился с $1,6 до $2,6 трлн, странам объединения также удалось вывести большую часть расчётов в нацвалюты и снизить зависимость от западных финансовых институтов. Об этом Владимир Путин заявил на Евразийском экономическом форуме в Минске. Он также отметил и перспективы развития сотрудничества с Ираном, который недавно завершил конфликт с Израилем: стоит напомнить, что в мае уже вступило в силу соглашение о свободной торговле между Тегераном и ЕАЭС. О том, как российского лидера приняли в Минске и что ещё обсуждалось на Евразийском экономическом форуме, - в материале "Известий".</w:t>
      </w:r>
      <w:bookmarkEnd w:id="124"/>
    </w:p>
    <w:p w14:paraId="66C9468D" w14:textId="77777777" w:rsidR="00D20E81" w:rsidRDefault="00D20E81" w:rsidP="00D20E81">
      <w:r>
        <w:t>В дружественной Белоруссии самолёт российского президента приземлился вечером 26 июня. В Национальном аэропорту Минска Владимира Путина встретили премьер страны Александр Турчин, замглавы МИДа республики Павел Утюпин, а также посол России в Белоруссии Борис Грызлов.</w:t>
      </w:r>
    </w:p>
    <w:p w14:paraId="52A476EC" w14:textId="77777777" w:rsidR="00D20E81" w:rsidRDefault="00D20E81" w:rsidP="00D20E81">
      <w:r>
        <w:t>У трапа выстроился почётный караул, девушки в красочных национальных нарядах преподнесли Владимиру Путину хлеб-соль.</w:t>
      </w:r>
    </w:p>
    <w:p w14:paraId="0A732490" w14:textId="77777777" w:rsidR="00D20E81" w:rsidRDefault="00D20E81" w:rsidP="00D20E81">
      <w:r>
        <w:t>Из аэропорта президентский кортеж направился в международный выставочный центр BELEXPO, где 26 июня состоялся Евразийский экономический форум. Фактически это первое мероприятие такого уровня, которое принимает открывшийся в мае этого года экспо-центр. Вдоль дороги были размещены флаги стран - участниц ЕАЭС (РФ, Белоруссии, Казахстана, Киргизии и Армении), а также государств - наблюдателей при объединении, в том числе Кубы.</w:t>
      </w:r>
    </w:p>
    <w:p w14:paraId="7E4E6035" w14:textId="77777777" w:rsidR="00D20E81" w:rsidRDefault="00D20E81" w:rsidP="00D20E81">
      <w:r>
        <w:t>Евразийский экономический форум проходит накануне заседания Высшего Евразийского экономического совета, на котором тоже запланировано выступление российского лидера.</w:t>
      </w:r>
    </w:p>
    <w:p w14:paraId="1FCDBE6D" w14:textId="77777777" w:rsidR="00D20E81" w:rsidRDefault="00D20E81" w:rsidP="00D20E81">
      <w:r>
        <w:t>На мероприятии 26 июня представители делового, экспертного и научного сообществ стран-участниц и государств-наблюдателей ЕАЭС обсудили возможности сотрудничества. В рамках форума прошло около 30 сессий. Кроме этого были проведены бизнес-диалог ЕАЭС - ОАЭ, круглый стол ЕАЭС -Монголия, диалог-презентация "Куба: возможности для развития экономических связей между ЕАЭС и странами Латинской Америки и Карибского бассейна". Более 2 тыс. участников из 33 стран приехали на форум.</w:t>
      </w:r>
    </w:p>
    <w:p w14:paraId="330F281A" w14:textId="77777777" w:rsidR="00D20E81" w:rsidRDefault="00D20E81" w:rsidP="00D20E81">
      <w:r>
        <w:t>Главным его событием стало пленарное заседание на тему "Стратегия евразийской экономической интеграции: итоги и перспективы".</w:t>
      </w:r>
    </w:p>
    <w:p w14:paraId="67823261" w14:textId="77777777" w:rsidR="00D20E81" w:rsidRDefault="00D20E81" w:rsidP="00D20E81">
      <w:r>
        <w:t>В торжественной обстановке на площадке Евразийского экономического форума президент Белоруссии лично встречал главных гостей, включая президента Казахстана Касым-Жомарта Токаева, главу Киргизии Садыра Жапарова, лидера Кубы Мигеля Диас-Канеля Бермудеса, премьер-министра Мьянмы Мин Аун Хлайна, спецпосланника президента Никарагуа Лауреано Ортегу, а также председателя коллегии Евразийской экономической комиссии Бакытжана Сагинтаева. Примечательно, что Никарагуа пока не присоединилась к ЕАЭС в качестве наблюдателя, тем не менее интерес Манагуа к объединению был оценён белорусским председательством.</w:t>
      </w:r>
    </w:p>
    <w:p w14:paraId="08D39147" w14:textId="77777777" w:rsidR="00D20E81" w:rsidRDefault="00D20E81" w:rsidP="00D20E81">
      <w:r>
        <w:lastRenderedPageBreak/>
        <w:t>Владимир Путин и Александр Лукашенко, встретившись, крепко обняли друг друга.</w:t>
      </w:r>
    </w:p>
    <w:p w14:paraId="377902B2" w14:textId="77777777" w:rsidR="00D20E81" w:rsidRDefault="00D20E81" w:rsidP="00D20E81">
      <w:r>
        <w:t>Совокупный ВВП участников Евразийского союза увеличился с $1,6 до $2,6 трлн, заметил в своей речи Владимир Путин. По словам российского лидера, товарооборот с третьими странами прибавил 38% и теперь составляет $800 млрд.</w:t>
      </w:r>
    </w:p>
    <w:p w14:paraId="38693F74" w14:textId="77777777" w:rsidR="00D20E81" w:rsidRDefault="00D20E81" w:rsidP="00D20E81">
      <w:r>
        <w:t>- Это вполне сопоставимый объём товарооборота между ведущими экономическими державами мира. Это солидный товарооборот, $800 млрд. А общий объём взаимной торговли внутри объединения удвоился - до $97 млрд, причём 93% расчётов между нашими государствами проводится в национальных валютах, - сказал Путин.</w:t>
      </w:r>
    </w:p>
    <w:p w14:paraId="38B42859" w14:textId="77777777" w:rsidR="00D20E81" w:rsidRDefault="00D20E81" w:rsidP="00D20E81">
      <w:r>
        <w:t>Президент также напомнил, что в мае вступило в силу соглашение о свободной торговле с Ираном. Ситуация на Ближнем Востоке успокаивается - можно считать, что конфликт между Ираном и Израилем в прошлом, добавил он.</w:t>
      </w:r>
    </w:p>
    <w:p w14:paraId="727CA4B0" w14:textId="77777777" w:rsidR="00D20E81" w:rsidRDefault="00D20E81" w:rsidP="00D20E81">
      <w:r>
        <w:t>- Это значит, что можно будет развивать отношения со всеми странами региона, в том числе и с Ираном, - сказал российский лидер.</w:t>
      </w:r>
    </w:p>
    <w:p w14:paraId="32C6E348" w14:textId="77777777" w:rsidR="00D20E81" w:rsidRDefault="00D20E81" w:rsidP="00D20E81">
      <w:r>
        <w:t>Эскалация пошла на спад, и ни одна из сторон не намерена продолжать конфликт - во всяком случае прямо сейчас, отметил в разговоре с "Известиями" востоковед Илья Веденеев.</w:t>
      </w:r>
    </w:p>
    <w:p w14:paraId="130A1800" w14:textId="77777777" w:rsidR="00D20E81" w:rsidRDefault="00D20E81" w:rsidP="00D20E81">
      <w:r>
        <w:t>Кроме этого российский лидер анонсировал подписание договорённостей об экономическом сотрудничестве с ОАЭ и Монголией, оно должно состояться 27 июня. На стадии обсуждения также находятся вопросы либерализации торговли с Индонезией, Египтом и Индией. Благодаря этим договорённостям ЕАЭС вносит реальный вклад в создание большого пространства партнёрства, сотрудничества и экономического роста на евразийском континенте.</w:t>
      </w:r>
    </w:p>
    <w:p w14:paraId="05477F7C" w14:textId="77777777" w:rsidR="00D20E81" w:rsidRDefault="00D20E81" w:rsidP="00D20E81">
      <w:r>
        <w:t>Внимание в своей речи Путин также обратил на стремление стран ЕАЭС снизить зависимость от западных финансовых институтов и минимизировать использование иностранных платёжных инструментов и сервисов. Президент подчеркнул: уже осуществлён переход к прямым корреспондентским контактам с банками государств "пятёрки", многие из них подключены к системе передачи финансовых сообщений ЦБ РФ. В этом контексте успехов странам ЕАЭС удалось добиться в сопряжении национальных систем платежей и банковских карт.</w:t>
      </w:r>
    </w:p>
    <w:p w14:paraId="22F27677" w14:textId="77777777" w:rsidR="00D20E81" w:rsidRDefault="00D20E81" w:rsidP="00D20E81">
      <w:r>
        <w:t>Отдельное внимание в своей речи российский лидер уделил попыткам Запада украсть российские золотовалютные активы.</w:t>
      </w:r>
    </w:p>
    <w:p w14:paraId="4AB77278" w14:textId="77777777" w:rsidR="00D20E81" w:rsidRDefault="00D20E81" w:rsidP="00D20E81">
      <w:r>
        <w:t>- Я сейчас подумал, всё-таки у меня базовое образование юридическое, я сказал: "кража наших золотовалютных резервов". Кража - это тайное похищение имущества. А это открытое, это грабёж. И поэтому мы, конечно же, нацелены и дальше укреплять в этой связи собственные финансовые расчётные инструменты, - подчеркнул Владимир Путин.</w:t>
      </w:r>
    </w:p>
    <w:p w14:paraId="7AAF4B1E" w14:textId="77777777" w:rsidR="00D20E81" w:rsidRDefault="00D20E81" w:rsidP="00D20E81">
      <w:r>
        <w:t>Своими действиями в отношении российских активов Запад во многом ускоряет регионализацию платёжных систем, что в целом даже полезно для мировой экономики, уверен глава РФ.</w:t>
      </w:r>
    </w:p>
    <w:p w14:paraId="31E1C2D3" w14:textId="77777777" w:rsidR="00D20E81" w:rsidRDefault="00D20E81" w:rsidP="00D20E81">
      <w:r>
        <w:t>Президент абсолютно прав - движение в сторону отказа от прежних принципов функционирования мировой экономики неизбежно, говорит "Известиям" проректор Дипакадемии МИД РФ Олег Карпович. По его словам, Запад сам разрушил систему, на которой базировалась идеология глобализации.</w:t>
      </w:r>
    </w:p>
    <w:p w14:paraId="3CFBD51F" w14:textId="77777777" w:rsidR="00D20E81" w:rsidRDefault="00D20E81" w:rsidP="00D20E81">
      <w:r>
        <w:lastRenderedPageBreak/>
        <w:t>- Отказ от правил свободной конкуренции, ставка на санкционную дубину, наконец, банальное воровство - все эти элементы американской и европейской политики обрубили сук, на котором сидят элиты соответствующих стран. Новые акты такого экономического варварства, безусловно, сыграют нам на руку и позволят показать мировому большинству лицемерие западных подходов. При всех издержках результат того стоит, - говорит Карпович.</w:t>
      </w:r>
    </w:p>
    <w:p w14:paraId="242BD025" w14:textId="77777777" w:rsidR="00D20E81" w:rsidRDefault="00D20E81" w:rsidP="00D20E81">
      <w:r>
        <w:t>Оппоненты России лишь приближают триумф истинной многополярности, уверен эксперт.</w:t>
      </w:r>
    </w:p>
    <w:p w14:paraId="3FDCD2AA" w14:textId="77777777" w:rsidR="00D20E81" w:rsidRDefault="00D20E81" w:rsidP="00D20E81">
      <w:r>
        <w:t>Белоруссия в этом году председательствует в объединении. ЕАЭС вместе с государствами-партнёрами - пятая часть населения мира и самое большое объединение по территории, заявил Александр Лукашенко. По его словам, в зоне ЕАЭС сосредоточена четверть всех разведанных видов полезных ископаемых.</w:t>
      </w:r>
    </w:p>
    <w:p w14:paraId="158A9894" w14:textId="77777777" w:rsidR="00D20E81" w:rsidRDefault="00D20E81" w:rsidP="00D20E81">
      <w:r>
        <w:t>- Наш союз занимает первое в мире место по добыче нефти, второе - по добыче газа и производству минеральных удобрений, третье - по производству пшеницы, картофеля, животноводческой продукции и по протяжённости железных дорог, - сказал он.</w:t>
      </w:r>
    </w:p>
    <w:p w14:paraId="010C30EC" w14:textId="77777777" w:rsidR="00D20E81" w:rsidRDefault="00D20E81" w:rsidP="00D20E81">
      <w:r>
        <w:t>ЕАЭС также находится на четвёртом месте по добыче угля, производству чугуна и стали, мяса и общей протяжённости автомобильных дорог.</w:t>
      </w:r>
    </w:p>
    <w:p w14:paraId="4BBD8854" w14:textId="77777777" w:rsidR="00D20E81" w:rsidRDefault="00D20E81" w:rsidP="00D20E81">
      <w:r>
        <w:t>Белорусский лидер считает, что странам союза надо взаимодополнять национальные экономики, а не конкурировать друг с другом одинаковыми товарами и дублирующимися производствами, таким образом формируя общее товарное предложение.</w:t>
      </w:r>
    </w:p>
    <w:p w14:paraId="4123DA01" w14:textId="77777777" w:rsidR="00D20E81" w:rsidRDefault="00D20E81" w:rsidP="00D20E81">
      <w:r>
        <w:t>По словам Лукашенко, странам экономического объединения необходима интеграция финансовых рынков, это станет новым катализатором роста. Для этого ЕАЭС надо в кратчайшие сроки подписать и ратифицировать соглашение о стандартизированной лицензии в банковском и страховом секторах, о взаимном доступе участников финансового рынка, подчеркнул президент Белоруссии.</w:t>
      </w:r>
    </w:p>
    <w:p w14:paraId="176F355A" w14:textId="77777777" w:rsidR="00D20E81" w:rsidRDefault="00D20E81" w:rsidP="00D20E81">
      <w:r>
        <w:t>Кроме этого для прорыва странам ЕАЭС требуется объединить научный, инженерный и финансовый потенциалы. В этом плане хорошим решением может стать создание совместных исследовательских и инновационных центров, которые будут разрабатывать новые технологии и продукты.</w:t>
      </w:r>
    </w:p>
    <w:p w14:paraId="205E8122" w14:textId="77777777" w:rsidR="00D20E81" w:rsidRDefault="00D20E81" w:rsidP="00D20E81">
      <w:r>
        <w:t>Он также отметил необходимость сделать интегрированные евразийские транспортно-логистические коридоры умными, мультимодальными, экологичными артериями с единой цифровой платформой администрирования.</w:t>
      </w:r>
    </w:p>
    <w:p w14:paraId="648CBB1C" w14:textId="77777777" w:rsidR="00D20E81" w:rsidRDefault="00D20E81" w:rsidP="00D20E81">
      <w:r>
        <w:t>Не обошёл вниманием в своей речи Лукашенко и отсутствие на встрече главы Армении, Никол Пашинян выступил в формате видеообращения. Это может указывать на то, что в ЕАЭС не всё в порядке, полагает Лукашенко.</w:t>
      </w:r>
    </w:p>
    <w:p w14:paraId="05F2FF23" w14:textId="77777777" w:rsidR="00D20E81" w:rsidRDefault="00D20E81" w:rsidP="00D20E81">
      <w:r>
        <w:t>Во многом отсутствие Армении на встрече ЕАЭС может быть связано с тем, что в стране сейчас разворачивается острый внутриполитический кризис из-за противостояния властей с оппозицией, которая в том числе включает представителей Церкви либо деятелей, которые её поддерживают, пояснил "Известиям" программный менеджер РСМД Милан Лазович.</w:t>
      </w:r>
    </w:p>
    <w:p w14:paraId="56328CA6" w14:textId="77777777" w:rsidR="00D20E81" w:rsidRDefault="00D20E81" w:rsidP="00D20E81">
      <w:r>
        <w:t>- Противостояние пока нарастает. В этих условиях Пашиняну важно находиться в стране, внутри событий, и контролировать происходящие процессы, -добавил он.</w:t>
      </w:r>
    </w:p>
    <w:p w14:paraId="6C4A9937" w14:textId="77777777" w:rsidR="00D20E81" w:rsidRDefault="00D20E81" w:rsidP="00D20E81">
      <w:r>
        <w:lastRenderedPageBreak/>
        <w:t>С другой стороны, не будем забывать определённое дистанцирование Армении от России, а также личный конфликт Пашиняна и Лукашенко из-за позиции белорусского лидера по конфликту вокруг Нагорного Карабаха. Все эти факторы вкупе привели к тому, что Пашинян очно не приехал в Минск, полагает эксперт. При этом рисков выхода страны из ЕАЭС сегодня нет.</w:t>
      </w:r>
    </w:p>
    <w:p w14:paraId="04E4B5D1" w14:textId="77777777" w:rsidR="00D20E81" w:rsidRDefault="00D20E81" w:rsidP="00D20E81">
      <w:r>
        <w:t>- Армении экономически крайне выгодно членство в Евразийском союзе. К выходу из структуры в Ереване не готовы и пока не стремятся к этому, поскольку реальной лучшей альтернативы нет, - говорит аналитик.</w:t>
      </w:r>
    </w:p>
    <w:p w14:paraId="551FB684" w14:textId="77777777" w:rsidR="00D20E81" w:rsidRDefault="00D20E81" w:rsidP="00D20E81">
      <w:r>
        <w:t>Он пояснил: перспективы Армении в ЕС туманны, поэтому она будет продолжать участвовать в ЕАЭС, но, вероятно, без активной и постоянной работы первых лиц на саммитах союза.</w:t>
      </w:r>
    </w:p>
    <w:p w14:paraId="3CA9CA82" w14:textId="77777777" w:rsidR="00D20E81" w:rsidRDefault="00D20E81" w:rsidP="00D20E81">
      <w:r>
        <w:t>$800 составляет млрд товарооборот Евразийского союза с третьими странами</w:t>
      </w:r>
    </w:p>
    <w:p w14:paraId="58CAADEC" w14:textId="77777777" w:rsidR="00D20E81" w:rsidRDefault="00D20E81" w:rsidP="00D20E81">
      <w:r>
        <w:t>Екатерина Хамова</w:t>
      </w:r>
    </w:p>
    <w:p w14:paraId="727F289F" w14:textId="77777777" w:rsidR="00C160D9" w:rsidRDefault="00C160D9" w:rsidP="00C160D9">
      <w:pPr>
        <w:pStyle w:val="2"/>
      </w:pPr>
      <w:bookmarkStart w:id="125" w:name="_Toc201901966"/>
      <w:r>
        <w:t>Коммерсантъ</w:t>
      </w:r>
      <w:r w:rsidRPr="00C160D9">
        <w:t xml:space="preserve">, </w:t>
      </w:r>
      <w:r>
        <w:t>26.06.2025</w:t>
      </w:r>
      <w:r w:rsidRPr="00C160D9">
        <w:t xml:space="preserve">, </w:t>
      </w:r>
      <w:r>
        <w:t>«Рынок структурных продуктов пока далек от докризисных масштабов»</w:t>
      </w:r>
      <w:bookmarkEnd w:id="125"/>
    </w:p>
    <w:p w14:paraId="13465F90" w14:textId="77777777" w:rsidR="00C160D9" w:rsidRDefault="00C160D9" w:rsidP="00C160D9">
      <w:pPr>
        <w:pStyle w:val="3"/>
      </w:pPr>
      <w:bookmarkStart w:id="126" w:name="_Toc201901967"/>
      <w:r>
        <w:t>Как развивался рынок структурных облигаций после ухода из России иностранных банков, какие инструменты сейчас пользуются повышенным спросом инвесторов, какое влияние на рынок окажет снижение ключевой ставки, рассказал в интервью “Ъ” руководитель департамента брокерского обслуживания ВТБ (MOEX: VTBR) Андрей Яцков.</w:t>
      </w:r>
      <w:bookmarkEnd w:id="126"/>
    </w:p>
    <w:p w14:paraId="0DCCDE46" w14:textId="77777777" w:rsidR="00C160D9" w:rsidRDefault="00C160D9" w:rsidP="00C160D9">
      <w:r>
        <w:t>— Рынок структурных облигаций, несмотря на короткую историю, пережил два сильных потрясения. В 2020 году, когда ЦБ ограничил их выпуск только для квалифицированных инвесторов, и в 2022 году, когда с российского рынка ушли иностранные банки. Что для отрасли стало наиболее болезненным? Насколько сложным и долгим был процесс перестройки после ухода с рынка иностранных инвестбанков?</w:t>
      </w:r>
    </w:p>
    <w:p w14:paraId="0777D76F" w14:textId="77777777" w:rsidR="00C160D9" w:rsidRDefault="00C160D9" w:rsidP="00C160D9">
      <w:r>
        <w:t>— Оба события серьезно повлияли на отрасль. Инвесторы, как розничные, так и институциональные, потеряли доступ к привычным инструментам с иностранными базовыми активами. Разумеется, возник и кризис доверия. Процесс перестройки прошел не мгновенно, но в целом довольно оперативно, учитывая, что пришлось заново выстраивать инфраструктуру, обновлять нормативную базу. Когда иностранные банки покинули рынок, ВТБ, как и другие участники рынка, закрыл образовавшийся вакуум за счет выпуска структурных облигаций в российском праве.</w:t>
      </w:r>
    </w:p>
    <w:p w14:paraId="1B90730D" w14:textId="77777777" w:rsidR="00C160D9" w:rsidRDefault="00C160D9" w:rsidP="00C160D9">
      <w:r>
        <w:t>В 2024 году было размещено 433 выпуска, с начала текущего года — 144 выпуска.</w:t>
      </w:r>
    </w:p>
    <w:p w14:paraId="0F9A7645" w14:textId="77777777" w:rsidR="00C160D9" w:rsidRDefault="00C160D9" w:rsidP="00C160D9">
      <w:r>
        <w:t>На текущий момент можно утверждать, что внутренний рынок структурных продуктов восстановился и активно развивается, хотя пока и далек от докризисных масштабов. По объемам и разнообразию, особенно на инструменты с привязкой к иностранным активам, прежние показатели еще не достигнуты.</w:t>
      </w:r>
    </w:p>
    <w:p w14:paraId="33B7DF8D" w14:textId="77777777" w:rsidR="00C160D9" w:rsidRDefault="00C160D9" w:rsidP="00C160D9">
      <w:r>
        <w:t>— Достаточно ли глубины рынка для создания широкого набора структурных облигаций (СО) и инвестиционных облигаций?</w:t>
      </w:r>
    </w:p>
    <w:p w14:paraId="3007FDB0" w14:textId="77777777" w:rsidR="00C160D9" w:rsidRDefault="00C160D9" w:rsidP="00C160D9">
      <w:r>
        <w:t xml:space="preserve">— Пока мы не наблюдаем признаков насыщения рынка такими продуктами. Как правило, инвесторы перекладывают средства из старых выпусков в новые — и это с </w:t>
      </w:r>
      <w:r>
        <w:lastRenderedPageBreak/>
        <w:t>учетом роста объемов благодаря накопленному инвестиционному доходу. Всегда есть продукты-«бестселлеры»: простые, понятные, проверенные временем конструкции, которые хорошо принимаются рынком и любимы инвесторами. Есть и менее популярные, более «нишевые» выпуски.</w:t>
      </w:r>
    </w:p>
    <w:p w14:paraId="3D9C1E22" w14:textId="77777777" w:rsidR="00C160D9" w:rsidRDefault="00C160D9" w:rsidP="00C160D9">
      <w:r>
        <w:t>Да, после инфраструктурных потрясений 2022 года количество доступных базовых активов во вселенной СО сократилось, особенно иностранных.</w:t>
      </w:r>
    </w:p>
    <w:p w14:paraId="293CC5FC" w14:textId="77777777" w:rsidR="00C160D9" w:rsidRDefault="00C160D9" w:rsidP="00C160D9">
      <w:r>
        <w:t>Но мы компенсируем это за счет широкой линейки продуктов, включая решения на российские акции, товарные активы, драгоценные металлы, индексы и акции фондов, которые реплицируют динамику популярных международных фондовых индексов. Мы предлагаем парные стратегии и охватываем весь спектр риск-профилей — от агрессивных конструкций с условной защитой до решений с полной защитой капитала.</w:t>
      </w:r>
    </w:p>
    <w:p w14:paraId="1B8420E7" w14:textId="77777777" w:rsidR="00C160D9" w:rsidRDefault="00C160D9" w:rsidP="00C160D9">
      <w:r>
        <w:t>Сейчас Банк России разрешил выпуск продуктов, отражающих динамику криптовалют (см. “Ъ” от 29 мая). Это открывает для частного инвестора доступ к новому классу активов легально и через уже привычную юридическую оболочку. Уверен, что это придаст дополнительный импульс притоку средств в структурные облигации.</w:t>
      </w:r>
    </w:p>
    <w:p w14:paraId="36EEF4EB" w14:textId="77777777" w:rsidR="00C160D9" w:rsidRDefault="00C160D9" w:rsidP="00C160D9">
      <w:r>
        <w:t>— Какие структурные облигации наиболее востребованы в нынешнем году?</w:t>
      </w:r>
    </w:p>
    <w:p w14:paraId="08369B4A" w14:textId="77777777" w:rsidR="00C160D9" w:rsidRDefault="00C160D9" w:rsidP="00C160D9">
      <w:r>
        <w:t>— В 2025 году мы наблюдаем высокий интерес инвесторов к продуктам с полной защитой капитала. Большим спросом пользуются дисконтные структурные облигации с опционами (размещение происходит по цене ниже номинала, к примеру, по 50%, погашение — по 100% от номинала), которые также могут предусматривать возможность участия в динамике определенного базового актива или принятие дополнительного кредитного риска качественного внешнего эмитента. Такие решения позволяют зафиксировать конкурентную гарантированную доходность на фоне высоких ставок в экономике.</w:t>
      </w:r>
    </w:p>
    <w:p w14:paraId="31F01709" w14:textId="77777777" w:rsidR="00C160D9" w:rsidRDefault="00C160D9" w:rsidP="00C160D9">
      <w:r>
        <w:t>Также мы видим повышенный спрос на короткие продукты с полной защитой капитала и условным доходом.</w:t>
      </w:r>
    </w:p>
    <w:p w14:paraId="62B0941A" w14:textId="77777777" w:rsidR="00C160D9" w:rsidRDefault="00C160D9" w:rsidP="00C160D9">
      <w:r>
        <w:t>Они позволяют зафиксировать премию над безрисковыми инструментами при реализации оптимистичных рыночных сценариев.</w:t>
      </w:r>
    </w:p>
    <w:p w14:paraId="2B2E8F80" w14:textId="77777777" w:rsidR="00C160D9" w:rsidRDefault="00C160D9" w:rsidP="00C160D9">
      <w:r>
        <w:t>Кроме того, доступны барьерные продукты с высокой доходностью при росте корзины выше заданного уровня, продукты с участием в росте акций и индексов, инструменты с валютным множителем, которые отражают динамику валютных курсов,— особенно актуально на фоне возможного ослабления рубля. Мы также выпускаем решения, ориентированные на рост длинных ОФЗ, чувствительных к смягчению денежно-кредитной политики ЦБ, а также продукты на парные и «шортовые» идеи, сформированные аналитической командой.</w:t>
      </w:r>
    </w:p>
    <w:p w14:paraId="3443E41D" w14:textId="77777777" w:rsidR="00C160D9" w:rsidRDefault="00C160D9" w:rsidP="00C160D9">
      <w:r>
        <w:t>— С чем связан провал в объемах размещений СО, доступных квалифицированным инвесторам?</w:t>
      </w:r>
    </w:p>
    <w:p w14:paraId="2B92F25F" w14:textId="77777777" w:rsidR="00C160D9" w:rsidRDefault="00C160D9" w:rsidP="00C160D9">
      <w:r>
        <w:t>— Основная причина снижения объемов — привлекательные ставки по депозитам, которые дают возможность безрискового размещения средств на фоне сохраняющейся волатильности на финансовых рынках. В текущих условиях инвесторы склонны фиксировать доходность и минимизировать риски, делая выбор в пользу депозитов.</w:t>
      </w:r>
    </w:p>
    <w:p w14:paraId="3F68E514" w14:textId="77777777" w:rsidR="00C160D9" w:rsidRDefault="00C160D9" w:rsidP="00C160D9">
      <w:r>
        <w:lastRenderedPageBreak/>
        <w:t>— Многие участники рынка выпускают структурные облигации через специализированные финансовые общества (СФО). Почему выбирают такую схему выпуска?</w:t>
      </w:r>
    </w:p>
    <w:p w14:paraId="3628FD71" w14:textId="77777777" w:rsidR="00C160D9" w:rsidRDefault="00C160D9" w:rsidP="00C160D9">
      <w:r>
        <w:t>— Специализированные финансовые общества — российский аналог зарубежных SPV (special purpose vehicle). Изначально СФО создавались для проведения сделок секьюритизации, но сегодня их популярность значительно выросла благодаря более гибкому регулированию по сравнению с банками и брокерами, также имеющими право на выпуск структурных облигаций. Это означает возможность быстрее выводить новые выпуски на рынок, а значит — оперативно предлагать клиентам актуальные инвестиционные идеи. Для инвестора это в первую очередь удобство и скорость: зачастую такие облигации можно купить быстрее, но при этом без потери прозрачности.</w:t>
      </w:r>
    </w:p>
    <w:p w14:paraId="5D8FB556" w14:textId="77777777" w:rsidR="00C160D9" w:rsidRDefault="00C160D9" w:rsidP="00C160D9">
      <w:r>
        <w:t>— У вас тоже есть СФО — «ВТБ Инвестиционные продукты», но основной объем размещений осуществляется через банк. Для чего вам этот инструмент?</w:t>
      </w:r>
    </w:p>
    <w:p w14:paraId="6D2C838C" w14:textId="77777777" w:rsidR="00C160D9" w:rsidRDefault="00C160D9" w:rsidP="00C160D9">
      <w:r>
        <w:t>— Ранее мы выпускали структурные облигации с СФО в качестве эмитента, но это было давно — в тот период наш бизнес структурных облигаций по российскому праву еще находился на стадии становления. Из-за малых объемов и высоких издержек поддерживать две платформы для выпуска облигаций было нецелесообразно. Сейчас спрос на структурные облигации растет, и наличие двух платформ для их выпуска дает больше гибкости. В связи с этим в текущем году мы собираемся снова начать выпускать структурные облигации вместе с СФО «ВТБ Инвестиционные продукты». Выбор, через кого выпускать долговые бумаги, будет зависеть от таких факторов, как потребность для покупателя в наличии кредитного рейтинга у эмитента.</w:t>
      </w:r>
    </w:p>
    <w:p w14:paraId="5FBF93DC" w14:textId="77777777" w:rsidR="00C160D9" w:rsidRDefault="00C160D9" w:rsidP="00C160D9">
      <w:r>
        <w:t>— Какие задачи стоят перед профучастником, выпускающим структурные облигации?</w:t>
      </w:r>
    </w:p>
    <w:p w14:paraId="53983E74" w14:textId="77777777" w:rsidR="00C160D9" w:rsidRDefault="00C160D9" w:rsidP="00C160D9">
      <w:r>
        <w:t>— Структурные и инвестиционные облигации одновременно решают две ключевые задачи: помогают удерживать текущих клиентов, особенно состоятельных, и активно способствуют привлечению новых инвесторов. Эти инструменты — по сути готовые инвестиционные стратегии, позволяющие гибко сочетать риск и доходность в рамках индивидуальных предпочтений. Для состоятельных клиентов важно иметь возможность точной настройки инвестиционного решения под свои задачи — будь то защита капитала, ограничение убытков или участие в росте отдельных активов.</w:t>
      </w:r>
    </w:p>
    <w:p w14:paraId="12A0D8B0" w14:textId="77777777" w:rsidR="00C160D9" w:rsidRDefault="00C160D9" w:rsidP="00C160D9">
      <w:r>
        <w:t>С другой стороны, наличие широкой и продуманной линейки структурных решений «на полке» делает банк более привлекательным и для новых клиентов, особенно тех, кто ищет не стандартный, а индивидуализированный подход. Наша задача — предложить продукт для каждого риск-профиля и инвестиционного горизонта.</w:t>
      </w:r>
    </w:p>
    <w:p w14:paraId="3FA584AC" w14:textId="77777777" w:rsidR="00C160D9" w:rsidRDefault="00C160D9" w:rsidP="00C160D9">
      <w:r>
        <w:t>— Какие у вас планы в отношении выпуска СО на криптоактивы?</w:t>
      </w:r>
    </w:p>
    <w:p w14:paraId="4BDF7ED2" w14:textId="77777777" w:rsidR="00C160D9" w:rsidRDefault="00C160D9" w:rsidP="00C160D9">
      <w:r>
        <w:t>— После разъяснений регулятора относительно возможностей квалифицированных инвесторов работать с криптоактивами в рамках российского законодательства рынок заметно активизировался. Мы уже разместили два выпуска структурных облигаций с полной защитой капитала, где базовым активом выступает биржевой фонд iShares Bitcoin Trust ETF (IBIT), созданный BlackRock — крупнейшей управляющей компанией мира (см. “Ъ” от 16 июня). Этот фонд инвестирует в биткойн, и его динамика практически полностью отражает движение курса криптовалюты.</w:t>
      </w:r>
    </w:p>
    <w:p w14:paraId="58110AF1" w14:textId="77777777" w:rsidR="00C160D9" w:rsidRDefault="00C160D9" w:rsidP="00C160D9">
      <w:r>
        <w:lastRenderedPageBreak/>
        <w:t>Структурная облигация ВТБ полностью размещена в российской инфраструктуре: расчеты проводятся в рублях через НРД, выпуск оформлен по российскому праву, эмитент — банк ВТБ.</w:t>
      </w:r>
    </w:p>
    <w:p w14:paraId="20DD926C" w14:textId="77777777" w:rsidR="00C160D9" w:rsidRDefault="00C160D9" w:rsidP="00C160D9">
      <w:r>
        <w:t>То есть фактически это обычная структурная облигация просто с более экзотическим базовым активом. Важно, что данный выпуск дает клиентам возможность участвовать в волатильном рынке без риска потерь. Мы видим устойчивый интерес клиентов всех сегментов к инвестициям, связанным с криптоактивами, поэтому в наших планах расширение линейки доступных криптовалют и перечня доступных комбинаций риска и доходности, включая продукты-«трекеры».</w:t>
      </w:r>
    </w:p>
    <w:p w14:paraId="6F470F06" w14:textId="77777777" w:rsidR="00C160D9" w:rsidRDefault="00C160D9" w:rsidP="00C160D9">
      <w:r>
        <w:t>— Как на рынок в целом влияет переход Банка России к более низкой ключевой ставке?</w:t>
      </w:r>
    </w:p>
    <w:p w14:paraId="14185890" w14:textId="77777777" w:rsidR="00C160D9" w:rsidRDefault="00C160D9" w:rsidP="00C160D9">
      <w:r>
        <w:t>— Опыт развитых рынков показывает: существует прямая зависимость между уровнем процентной ставки и степенью риска, которую инвесторы готовы принять. Чем ниже ставка, тем выше толерантность к колебаниям и интерес к потенциально более доходным стратегиям. Смягчение денежно-кредитной политики ЦБ и выход на устойчивую траекторию снижения — безусловно позитивный сигнал для сегмента структурных продуктов. Это будет стимулировать инвесторов отходить от ультраконсервативных решений и частично замещать безрисковые инструменты в портфелях более гибкими, в том числе — структурными облигациями.</w:t>
      </w:r>
    </w:p>
    <w:p w14:paraId="050A37B3" w14:textId="77777777" w:rsidR="00C160D9" w:rsidRDefault="00C160D9" w:rsidP="00C160D9">
      <w:r>
        <w:t>Особенно это касается решений с валютной экспозицией. Наличие таких инструментов в инвестиционном портфеле позволяет хеджировать риск колебания рубля, что актуально в условиях заметного отклонения реального курса национальной валюты от среднеисторических значений и сохраняющихся рисков его ослабления в горизонте ближайших 12–18 месяцев.</w:t>
      </w:r>
    </w:p>
    <w:p w14:paraId="74078805" w14:textId="77777777" w:rsidR="00C160D9" w:rsidRDefault="00C160D9" w:rsidP="00C160D9">
      <w:r>
        <w:t>Один из наиболее простых подходов — вложения в структурные облигации, номинированные в дружественных валютах, например, в китайских юанях.</w:t>
      </w:r>
    </w:p>
    <w:p w14:paraId="5FFA1848" w14:textId="77777777" w:rsidR="00C160D9" w:rsidRDefault="00C160D9" w:rsidP="00C160D9">
      <w:r>
        <w:t>Также возможно формирование рублевых структурных облигаций, в которых выплаты по купонам и номинал индексируются на изменение соответствующего валютного курса. Кроме того, валюты могут использоваться в качестве базового актива: в этом случае доходность инструмента будет напрямую зависеть от динамики одной или нескольких валютных пар.</w:t>
      </w:r>
    </w:p>
    <w:p w14:paraId="188274B9" w14:textId="77777777" w:rsidR="00C160D9" w:rsidRDefault="00C160D9" w:rsidP="00C160D9">
      <w:r>
        <w:t>Интервью взял Виталий Гайдаев</w:t>
      </w:r>
    </w:p>
    <w:p w14:paraId="5FC4ACA1" w14:textId="77777777" w:rsidR="00C160D9" w:rsidRDefault="00C160D9" w:rsidP="00C160D9">
      <w:pPr>
        <w:pStyle w:val="2"/>
      </w:pPr>
      <w:bookmarkStart w:id="127" w:name="_Toc201901968"/>
      <w:r>
        <w:lastRenderedPageBreak/>
        <w:t>Коммерсантъ</w:t>
      </w:r>
      <w:r w:rsidRPr="00C160D9">
        <w:t xml:space="preserve">, </w:t>
      </w:r>
      <w:r>
        <w:t>26.06.2025</w:t>
      </w:r>
      <w:r w:rsidRPr="00C160D9">
        <w:t xml:space="preserve">, </w:t>
      </w:r>
      <w:r>
        <w:t>Структурная эволюция</w:t>
      </w:r>
      <w:bookmarkEnd w:id="127"/>
    </w:p>
    <w:p w14:paraId="171F8B03" w14:textId="77777777" w:rsidR="00C160D9" w:rsidRDefault="00C160D9" w:rsidP="00C160D9">
      <w:pPr>
        <w:pStyle w:val="3"/>
      </w:pPr>
      <w:bookmarkStart w:id="128" w:name="_Toc201901969"/>
      <w:r>
        <w:t>В 2025 году наметился сдвиг в размещениях структурных облигаций. Этот финансовый инструмент, традиционно привлекавший опытных инвесторов, с 2022 года начал активно использоваться для проведения сделок MA. Условия для этого создал активный выход из России иностранных компаний. Упаковка продаваемых активов в структурные облигации, выпущенные специальными финансовыми обществами, обеспечивала оперативность сделок, их конфиденциальность, а также низкие регуляторные риски. Однако сейчас интерес к таким операциям снизился, и ключевая роль на рынке возвращается к банкам, выпускающим классические структурные облигации. Тем более что спрос на такие бумаги растет со стороны состоятельных инвесторов на фоне перехода Банка России к более мягкой денежно-кредитной политике.</w:t>
      </w:r>
      <w:bookmarkEnd w:id="128"/>
    </w:p>
    <w:p w14:paraId="3024A27F" w14:textId="77777777" w:rsidR="00C160D9" w:rsidRDefault="00C160D9" w:rsidP="00C160D9">
      <w:r>
        <w:t>Структурные облигации (СО) — долговые бумаги, выплаты по которым зависят от наступления или ненаступления определенных обстоятельств, зафиксированных в решении об их выпуске. В частности, они выпускаются на широкий круг активов: ценные бумаги, валюты, биржевые товары, корзины этих инструментов, кредитный риск и многое другое. Такие облигации не гарантируют не только выплату дополнительного дохода, но и возврат номинальной стоимости. В общем случае они доступны только квалифицированным инвесторам. Частным случаем структурных облигаций являются инвестиционные облигации, по которым гарантируется защита капитала, то есть погашение по номинальной стоимости. Эти бумаги доступны неквалифицированным инвесторам после прохождения тестирования на знание продукта.</w:t>
      </w:r>
    </w:p>
    <w:p w14:paraId="087AA2A7" w14:textId="77777777" w:rsidR="00C160D9" w:rsidRDefault="00C160D9" w:rsidP="00C160D9">
      <w:r>
        <w:t>Инвестиции возвращаются</w:t>
      </w:r>
    </w:p>
    <w:p w14:paraId="63BEA334" w14:textId="77777777" w:rsidR="00C160D9" w:rsidRDefault="00C160D9" w:rsidP="00C160D9">
      <w:r>
        <w:t>Российский рынок структурных облигаций, переживший в начале 2022 года клиническую смерть на фоне разрыва связей с западными странами, довольно быстро реанимировался, став одним из драйверов восстановления рынка долгового капитала. Причем в последнее время в его структуре наметился рост доли инвестиционных продуктов. Согласно оценке главного аналитика долгового рынка БК «Регион» Александра Ермака, по итогам пяти месяцев 2025 года были выпущены структурные облигации (включая инвестиционные облигации с защитой капитала) на 153 млрд руб. Причем инвестиционные облигации достигли 17% от этого объема. В значительной степени и структурные облигации были ориентированы на инвестиционные вложения. «По текущим наблюдениям, около 50–60% структурных облигаций обеспечивают выплату дополнительного дохода. Этот доход является "безусловным" и не зависит от рыночных факторов»,— отмечает структуратор «Румберг Кэпитал» Руслан Сабиров.</w:t>
      </w:r>
    </w:p>
    <w:p w14:paraId="2387E71F" w14:textId="77777777" w:rsidR="00C160D9" w:rsidRDefault="00C160D9" w:rsidP="00C160D9">
      <w:r>
        <w:t>До 2022 года этот сегмент структурных облигаций был ориентирован прежде всего на инвестиционные вложения, причем до 70–80% всех таких бумаг выпускалось на иностранные базовые активы. Однако уход иностранных игроков с российского рынка привел к его сжатию в первом квартале 2022 года до 11,5 млрд руб. В итоге банки и инвестиционные компании вынуждены были перестраивать инфраструктуру и переориентировать ее на внутренний рынок. «Внешний шок привел к кардинальным изменениям: около 99% рынка переориентировалось на локальные инструменты из-за ограничений в операциях с иностранными контрагентами»,— отмечает Руслан Сабиров.</w:t>
      </w:r>
    </w:p>
    <w:p w14:paraId="2FBA52F3" w14:textId="77777777" w:rsidR="00C160D9" w:rsidRDefault="00C160D9" w:rsidP="00C160D9">
      <w:r>
        <w:lastRenderedPageBreak/>
        <w:t>Однако со второго квартала 2022 года начался резкий рост рынка, приведший, по данным БК «Регион», в третьем квартале к рекордному объему размещений в размере 690 млрд руб., из которых 687 млрд пришлось на бумаги без защиты капитала.</w:t>
      </w:r>
    </w:p>
    <w:p w14:paraId="1A0D0115" w14:textId="77777777" w:rsidR="00C160D9" w:rsidRDefault="00C160D9" w:rsidP="00C160D9">
      <w:r>
        <w:t>Этот результат превысил объем всех размещений СО за предыдущие четыре года (560 млрд руб.) даже с учетом того, что в последующие кварталы объемы размещений оставались многократно выше уровней до начала 2022 года, особенно в части бумаг, размещаемых среди ограниченного круга инвесторов. По оценке Александра Ермака, в 2023 году было проведено 1,05 тыс. сделок на 381 млрд руб., в 2024-м — 1,14 тыс. сделок на 704 млрд руб. При этом 95% всего объема сделок пришлось на СО, доступные квалифицированным инвесторам, тогда как еще пять лет назад на них приходилось около 50% рынка.</w:t>
      </w:r>
    </w:p>
    <w:p w14:paraId="7FEF3D12" w14:textId="77777777" w:rsidR="00C160D9" w:rsidRDefault="00C160D9" w:rsidP="00C160D9">
      <w:r>
        <w:t>Всплеск активности в не самых лучших рыночных условиях был в значительной степени связан с массовым уходом иностранных компаний из России. На фоне постоянно расширяющихся санкций со стороны западных стран, а также ответных мер РФ нерезиденты вынуждены были продавать российские компании сторонним инвесторам либо передавать их менеджменту. По данным AKM, в 2022 году было зафиксировано 109 таких сделок суммарным объемом $16,3 млрд.</w:t>
      </w:r>
    </w:p>
    <w:p w14:paraId="1806CF75" w14:textId="77777777" w:rsidR="00C160D9" w:rsidRDefault="00C160D9" w:rsidP="00C160D9">
      <w:r>
        <w:t>Как отмечают участники рынка, часть таких сделок могла структурироваться через СО. По мнению Руслана Сабирова, доля подобных сделок в 2022 году могла доходить до 90% от общего объема размещений таких облигаций. Структурные облигации — это конструктор, из которого можно довольно быстро собрать финансовый инструмент для решения конкретных задач, от простого займа с определенными ковенантами (условиями) до структурирования сделок с последующей передачей прав владения. «Это могла быть просто передача прав собственности от иностранного бизнеса локальным инвесторам или инструмент гарантии, что в случае возвращения бизнеса в РФ локальные инвесторы должны будут вернуть активы обратно иностранным владельцам»,— отмечает собеседник “Ъ” в крупном family-office.</w:t>
      </w:r>
    </w:p>
    <w:p w14:paraId="58516EFA" w14:textId="77777777" w:rsidR="00C160D9" w:rsidRDefault="00C160D9" w:rsidP="00C160D9">
      <w:r>
        <w:t>Без спецобществ не обойтись</w:t>
      </w:r>
    </w:p>
    <w:p w14:paraId="471B64DB" w14:textId="77777777" w:rsidR="00C160D9" w:rsidRDefault="00C160D9" w:rsidP="00C160D9">
      <w:r>
        <w:t>Эмитентом структурных облигаций обычно выступают специализированные финансовые общества (СФО). Причем под каждую конкретную сделку, как отмечают участники рынка, обычно создается новое СФО. Согласно оценке Александра Ермака, всего на рынке 32 подобные компании, выпустившие по 1 СО, с суммарным объемом выпущенных бумаг 1,2 трлн руб. (почти половина всего рынка).</w:t>
      </w:r>
    </w:p>
    <w:p w14:paraId="00F8FEF4" w14:textId="77777777" w:rsidR="00C160D9" w:rsidRDefault="00C160D9" w:rsidP="00C160D9">
      <w:r>
        <w:t>Крупнейшими эмитентами стали СФО «Идеи и инвестиции» (316 млрд руб.), СФО «Сити Инвест 6» (273 млрд руб.), СФО «Арктур» (100 млрд руб.).</w:t>
      </w:r>
    </w:p>
    <w:p w14:paraId="6B597E80" w14:textId="77777777" w:rsidR="00C160D9" w:rsidRDefault="00C160D9" w:rsidP="00C160D9">
      <w:r>
        <w:t>Структура сделки предполагает передачу актива в пользу СФО, которое, в свою очередь, выпускает СО в пользу приобретателя. Публичная информация об активах в подобных сделках отсутствует. Однако, как отмечает Руслан Сабиров, некоторые подсказки дает закон «О рынке ценных бумаг». В статье «Специализированное общество» описываются типы активов, которые допускается упаковывать в СФО. «Наиболее очевидными являются акции непубличных холдинговых компаний и пакеты облигаций, а также права требования по различным видам договоров»,— указывает господин Сабиров.</w:t>
      </w:r>
    </w:p>
    <w:p w14:paraId="6356E69D" w14:textId="77777777" w:rsidR="00C160D9" w:rsidRDefault="00C160D9" w:rsidP="00C160D9">
      <w:r>
        <w:t xml:space="preserve">Вместе с тем у СФО крайне ограниченная правоспособность, фактически оно может только выпускать СО, отмечает глава практики рынков капитала юридической фирмы </w:t>
      </w:r>
      <w:r>
        <w:lastRenderedPageBreak/>
        <w:t>«Дякин, Горцунян и партнеры» Константин Минеев. По этой причине такие структуры хорошо защищены от возникновения кредиторской задолженности. Кроме того, СФО по общему правилу не может совершать хозяйственные сделки, а его гендиректором не может являться физическое лицо, что также повышает защиту актива от недружественных действий третьих лиц. С помощью СФО достигается оптимизация корпоративной структуры собственников активов, включая вывод или перераспределение долей владения. «СФО не раскрывает информацию о том, кто является владельцем структурных облигаций, что обеспечивает высокую конфиденциальность покупателя. Иногда сделка может быть дополнена опционом в отношении долей эмитента в пользу покупателя на период между подписанием и закрытием сделки»,— отмечает Константин Минеев. Такая схема помогает управлять регуляторными ограничениями, в том числе ограничениями на владение иностранными активами, контролировать валютные риски, работу с санкционными активами и тому подобное, отмечает гендиректор «ТКБ Инвестмент Партнерс» Дмитрий Тимофеев.</w:t>
      </w:r>
    </w:p>
    <w:p w14:paraId="17DA12FE" w14:textId="77777777" w:rsidR="00C160D9" w:rsidRDefault="00C160D9" w:rsidP="00C160D9">
      <w:r>
        <w:t>Оптимизация корпоративной структуры собственности, налоговые льготы и анонимность роднят структурирование активов через СО еще с одним способом упаковки активов — через закрытый паевой инвестиционный фонд (ЗПИФ).</w:t>
      </w:r>
    </w:p>
    <w:p w14:paraId="24175AB7" w14:textId="77777777" w:rsidR="00C160D9" w:rsidRDefault="00C160D9" w:rsidP="00C160D9">
      <w:r>
        <w:t>Как считает Руслан Сабиров, СФО имеют ряд преимуществ перед ЗПИФами, ключевым из которых является радикально меньшая зарегулированность. Для СФО не нужен спецдепозитарий, а надзор со стороны ЦБ значительно меньше. По словам господина Сабирова, это позволяет более гибко и экономно настроить структуру под задачу заказчика. «СО позволяет структурировать практически любые активы, в том числе те, которые ЗПИФу трудно администрировать: иностранные активы, сложные долговые инструменты, права требований. Также здесь отсутствуют ограничения по квалификации управляющей компании, не требуется лицензия»,— отмечает господин Тимофеев.</w:t>
      </w:r>
    </w:p>
    <w:p w14:paraId="2EFFDA0D" w14:textId="77777777" w:rsidR="00C160D9" w:rsidRDefault="00C160D9" w:rsidP="00C160D9">
      <w:r>
        <w:t>Вместе с тем при использовании СФО есть особенности, которые и влияют на «минимальный чек» для СО. «Более сложное структурирование (структуры с деривативами, свопами, расчетными агентами, гарантиями) ведет к высоким затратам на юридическую и налоговую проработку»,— поясняет Дмитрий Тимофеев. По его словам, такие сделки имеет смысл проводить при объеме эмиссии от 1–2 млрд руб.</w:t>
      </w:r>
    </w:p>
    <w:p w14:paraId="285CE7B6" w14:textId="77777777" w:rsidR="00C160D9" w:rsidRDefault="00C160D9" w:rsidP="00C160D9">
      <w:r>
        <w:t>По мере естественной убыли иностранных компаний, уходящих из России, спрос на структурирование активов через СО начал снижаться, что привело к сокращению объема таких сделок в 2023 году. Всплеск в 2024 году, как считает господин Тимофеев, мог быть связан с проведением сделок по рефинансированию созданных в 2022–2023 годах структур. По его словам, многие сделки 2022 года имели краткосрочную структуру, требующую перезапуска через 12–18 месяцев.</w:t>
      </w:r>
    </w:p>
    <w:p w14:paraId="0F31F36F" w14:textId="77777777" w:rsidR="00C160D9" w:rsidRDefault="00C160D9" w:rsidP="00C160D9">
      <w:r>
        <w:t>Ставка на фиат и криптовалюту</w:t>
      </w:r>
    </w:p>
    <w:p w14:paraId="0A54934A" w14:textId="77777777" w:rsidR="00C160D9" w:rsidRDefault="00C160D9" w:rsidP="00C160D9">
      <w:r>
        <w:t>К началу 2025 года крупные корпоративные реструктуризации предшествующих лет были уже реализованы, в основном завершился и процесс редомициляции компаний в российскую юрисдикцию. По данным AKM, по итогам первого квартала 2025 года объем рынка MA с порогом $1 млн составил всего $7,35 млрд. При этом на сделки, где продавцами выступали иностранные инвесторы, пришлось лишь 5,7% (около $42 млн). Как итог снизился спрос на создание СФО и выпуск СО по сделкам по структурированию активов.</w:t>
      </w:r>
    </w:p>
    <w:p w14:paraId="69A32691" w14:textId="77777777" w:rsidR="00C160D9" w:rsidRDefault="00C160D9" w:rsidP="00C160D9">
      <w:r>
        <w:lastRenderedPageBreak/>
        <w:t>В таких условиях участники рынка ожидают дальнейшего усиления роли «классических» СО, выпущенных с целью диверсификации инвестиций состоятельных россиян. Как отмечает Руслан Сабиров, отличительными особенностями таких выпусков являются небольшой объем (как правило, до 1 млрд руб.), базовые активы («голубые фишки» или индексы), типовая документация, часто доступная публично. Основными эмитентами таких облигаций выступают крупнейшие российские банки — Сбербанк, ВТБ, Альфа-банк.</w:t>
      </w:r>
    </w:p>
    <w:p w14:paraId="330B7AB8" w14:textId="77777777" w:rsidR="00C160D9" w:rsidRDefault="00C160D9" w:rsidP="00C160D9">
      <w:r>
        <w:t>Директор департамента глобальных рынков Сбербанка Александр Зозуля рассказал, что по итогам пяти месяцев 2025 года банк разместил 121 выпуск структурных и инвестиционных облигаций на сумму около 70 млрд руб. За тот же период 2024 года было размещено 97 выпусков на сумму 62 млрд руб. Вице-президент дирекции долговых рынков и инвестиционных структурных продуктов Альфа-банка Александр Михайлов обращает внимание на сдвиг на рынке в сторону квазидепозитных продуктов со стопроцентной защитой капитала (инвестиционные облигации) и продуктов с привязкой к кредитному риску.</w:t>
      </w:r>
    </w:p>
    <w:p w14:paraId="5A6FA9DA" w14:textId="77777777" w:rsidR="00C160D9" w:rsidRDefault="00C160D9" w:rsidP="00C160D9">
      <w:r>
        <w:t>Еще одним популярным направлением стали валютные структурные облигации.</w:t>
      </w:r>
    </w:p>
    <w:p w14:paraId="08D3F534" w14:textId="77777777" w:rsidR="00C160D9" w:rsidRDefault="00C160D9" w:rsidP="00C160D9">
      <w:r>
        <w:t>Эти инструменты позволяют инвесторам приобретать облигации, привязанные к динамике иностранной валюты (юань, доллар, евро, швейцарский франк). По оценке Александра Ермака, такие облигации занимают 1/6 часть рынка, однако почти весь объем (около 400 млрд руб.) приходится на бумаги, номинированные в долларах США. «По сравнению с традиционными замещающими облигациями валютные структурные облигации обеспечивают большую гибкость и, как правило, более высокую доходность, что делает их востребованными среди инвесторов, стремящихся диверсифицировать свои портфели»,— отмечает Руслан Сабиров.</w:t>
      </w:r>
    </w:p>
    <w:p w14:paraId="467279AC" w14:textId="77777777" w:rsidR="00C160D9" w:rsidRDefault="00C160D9" w:rsidP="00C160D9">
      <w:r>
        <w:t>Цикл снижения ключевой ставки и ставок по депозитам приведет к повышенному спросу на структурные облигации со стороны квалифицированных инвесторов с агрессивным профилем риска, считает Александр Михайлов. В июне Банк России снизил ключевую ставку с 21% до 20%. Несмотря на то что регулятор не исключил возможность ее повышения, большая часть аналитиков ожидают ее снижения к концу года до 14–18%. По мнению директора по развитию деривативных продуктов Совкомбанка Вероники Чистотиновой, инвесторы, привыкшие к высоким ставкам, будут искать альтернативные инструменты с сохранением доходности при возрастающем риске.</w:t>
      </w:r>
    </w:p>
    <w:p w14:paraId="30B294A6" w14:textId="77777777" w:rsidR="00C160D9" w:rsidRDefault="00C160D9" w:rsidP="00C160D9">
      <w:r>
        <w:t>Дополнительным драйвером роста этого сегмента может стать смягчение позиции Банка России относительно продажи квалинвесторам финансовых продуктов с привязкой к стоимости криптоактивов.</w:t>
      </w:r>
    </w:p>
    <w:p w14:paraId="4DFD83FD" w14:textId="77777777" w:rsidR="00C160D9" w:rsidRDefault="00C160D9" w:rsidP="00C160D9">
      <w:r>
        <w:t xml:space="preserve">В конце мая регулятор выпустил разъяснительное письмо о том, какие продукты на цифровые активы все-таки можно продавать ограниченному кругу инвесторов (см. “Ъ” от 29 мая). За неполный месяц несколько эмитентов («Румберг» совместно с УК «Альфа-Капитал», «Сбербанк КИБ» и ВТБ) выпустили СО с привязкой к стоимости акций iShares Bitcoin Trust ETF, одного из крупнейших криптовалютных биржевых фондов под управлением BlackRock (см. “Ъ” от 16 июня). По словам Александра Зозули, объем размещения структурной облигации составил 500 млн руб. «Структурная облигация предоставляет владельцам двойную экспозицию: инвестор может получить доход как от будущей динамики долларовой стоимости биткойна, так и от возможного укрепления курса доллара США к рублю»,— отмечает он. В планах банка — выпуск не только </w:t>
      </w:r>
      <w:r>
        <w:lastRenderedPageBreak/>
        <w:t>внебиржевых СО с экспозицией на криптовалюты, но и СО с полноценным листингом на Московской бирже.</w:t>
      </w:r>
    </w:p>
    <w:p w14:paraId="11BD5907" w14:textId="77777777" w:rsidR="00C160D9" w:rsidRDefault="00C160D9" w:rsidP="00C160D9">
      <w:r>
        <w:t>Виталий Гайдаев</w:t>
      </w:r>
    </w:p>
    <w:p w14:paraId="280D2C66" w14:textId="77777777" w:rsidR="00484473" w:rsidRDefault="00484473" w:rsidP="00484473">
      <w:pPr>
        <w:pStyle w:val="2"/>
      </w:pPr>
      <w:bookmarkStart w:id="129" w:name="_Toc201901970"/>
      <w:r>
        <w:t>Коммерсантъ</w:t>
      </w:r>
      <w:r w:rsidRPr="00484473">
        <w:t xml:space="preserve">, </w:t>
      </w:r>
      <w:r>
        <w:t>27.06.2025</w:t>
      </w:r>
      <w:r w:rsidRPr="00484473">
        <w:t xml:space="preserve">, </w:t>
      </w:r>
      <w:r>
        <w:t>Банкам добавили полгода на капитал</w:t>
      </w:r>
      <w:bookmarkEnd w:id="129"/>
    </w:p>
    <w:p w14:paraId="1C6D0A24" w14:textId="77777777" w:rsidR="00484473" w:rsidRDefault="00484473" w:rsidP="00484473">
      <w:pPr>
        <w:pStyle w:val="3"/>
      </w:pPr>
      <w:bookmarkStart w:id="130" w:name="_Toc201901971"/>
      <w:r>
        <w:t>Банк России продлил до конца года возможность кредитным организациям выпускать рублевые субординированные облигации с плавающей ставкой, не превышающей ключевую на 5 процентных пунктов (п. п.). По словам участников рынка, главный бенефициар этого решения — ВТБ, который не успел «рублифицировать» все свои валютные суборды. Однако такое решение будет на руку и другим банкам, которые смогут пополнить капитал при более низкой ключевой ставке (КС).</w:t>
      </w:r>
      <w:bookmarkEnd w:id="130"/>
    </w:p>
    <w:p w14:paraId="1E2ACCB0" w14:textId="77777777" w:rsidR="00484473" w:rsidRDefault="00484473" w:rsidP="00484473">
      <w:r>
        <w:t>26 июня ЦБ объявил о решении совета директоров продлить на полгода срок размещения банками субординированных облигаций с плавающей ставкой, не превышающей ключевую более чем на 5 п. п. Теперь у кредитных организаций появилась возможность размещать эти рублевые инструменты, которые учитываются в капитале, до 31 декабря 2025 года. Как пояснили “Ъ” в Банке России, такое решение принято, поскольку банки продолжают высказывать заинтересованность в увеличении своего регулятивного капитала и готовы выпустить субординированные инструменты. При этом рыночные ставки превышают предельную величину процентной ставки, установленную нормативными документами, «что ограничивает возможность банков размещать субординированные инструменты на рыночных условиях», отметили в ЦБ.</w:t>
      </w:r>
    </w:p>
    <w:p w14:paraId="6AFB4BF5" w14:textId="77777777" w:rsidR="00484473" w:rsidRDefault="00484473" w:rsidP="00484473">
      <w:r>
        <w:t>Вместе с тем ряд банков уже реализовали свои права по выпуску таких облигаций. Согласно данным Rusbonds, 28 апреля Альфа-банк разместил субординированные облигации на 6 млрд руб. со ставкой 22,62% годовых, а 10 июня банк «Синара» разместил аналогичные бумаги на 7 млрд руб. с купоном 25% годовых.</w:t>
      </w:r>
    </w:p>
    <w:p w14:paraId="459DF5E8" w14:textId="77777777" w:rsidR="00484473" w:rsidRDefault="00484473" w:rsidP="00484473">
      <w:r>
        <w:t>Опрошенные кредитные организации не отмечали своей заинтересованности в этом вопросе. Однако ранее на Петербургском международном экономическом форуме первый зампред ВТБ Дмитрий Пьянов заявил, что банк будет просить продлить срок действия этой нормы после 30 июня, когда истекал срок ее действия (см. “Ъ” от 23 июня). Дело в том, что при проведении «рублификации» валютных субордов лишь по одному выпуску (из восьми) количество голосов за собрало 75%, необходимых для перевода всего валютного выпуска в рублевый. Однако по трем выпускам количество проголосовавших за было близко к 50% или выше, а проголосовавших против — меньше 10%. По этим выпускам, по словам Дмитрия Пьянова, банк хочет устроить повторное голосование. В ВТБ не смогли оперативно прокомментировать планы продления «рублификации».</w:t>
      </w:r>
    </w:p>
    <w:p w14:paraId="57EFA184" w14:textId="77777777" w:rsidR="00484473" w:rsidRDefault="00484473" w:rsidP="00484473">
      <w:r>
        <w:t xml:space="preserve">Ранее в банке отмечали, что в 2024 году ЦБ внедрил новое регулирование открытой валютной позиции банков, которое предусматривает существенное лимитирование «волатильности базового капитала путем включения в расчет бессрочных субординированных инструментов». Как пояснила руководитель корпоративной практики юридической компании «Митра» Алина Ахметова, раньше, если у банка были бессрочные суборды в долларах или евро, они учитывались как капитал, но не влияли на расчет его открытой валютной позиции. При резких колебаниях курсов сильно менялся </w:t>
      </w:r>
      <w:r>
        <w:lastRenderedPageBreak/>
        <w:t>и размер основного капитала банка, «что создавало нестабильность», поясняет она. С учетом новых правил банк должен «активнее уравновешивать свою валютную позицию, например иметь больше валютных активов, если у него много валютных субордов», отмечает Алина Ахметова.</w:t>
      </w:r>
    </w:p>
    <w:p w14:paraId="1F1435CC" w14:textId="77777777" w:rsidR="00484473" w:rsidRDefault="00484473" w:rsidP="00484473">
      <w:r>
        <w:t>По словам главного аналитика «Солид Брокер» Дмитрия Донецкого, решение ЦБ о продлении срока, по сути, адресовано ВТБ. Основная причина, почему банк смог собрать кворум только по одному выпуску валютных субордов, по его словам, заключается в том, что держатели валютных облигаций не хотят их обменивать на рублевые при текущем курсе. «Следующий раунд голосования облигационеров состоится в сентябре-октябре этого года, скорее всего, к этому времени курс доллара будет выше, а значит, больше шансов на преодоление 75-процентного барьера для "рублификации" выпусков»,— считает эксперт.</w:t>
      </w:r>
    </w:p>
    <w:p w14:paraId="65609BB7" w14:textId="77777777" w:rsidR="00484473" w:rsidRDefault="00484473" w:rsidP="00484473">
      <w:r>
        <w:t>Тем не менее решение регулятора дает возможность и другим банкам не спешить с выпуском рублевых субординированных облигаций. В частности, помимо размещенного выпуска Альфа-банк зарегистрировал еще три выпуска субордов на 40 млрд руб. (см. “Ъ” от 17 марта). Также в начале июня ПСБ зарегистрировал два выпуска субординированных облигаций на 10 млрд руб. со ставкой КС+4%. Как считают в РСХБ, продление действия данной нормы связано со все еще достаточно высоким значением ключевой ставки (20%) и остающимися у крупных банков субординированными облигациями, номинированными в валюте. По словам аналитика инвесткомпании «Цифра брокер» Дмитрия Вишневского, банки смогут планировать выпуск бумаг более гибко и на выгодных условиях, учитывая высокую стоимость фондирования. В частности, к концу года эксперты ожидают снижения ключевой ставки до 14–18%. Вместе с тем «сохранение лимита по плавающей ставке делает субординированные инструменты более привлекательными для инвесторов по сравнению с депозитами»,— отмечает господин Вишневский.</w:t>
      </w:r>
    </w:p>
    <w:p w14:paraId="464295B2" w14:textId="77777777" w:rsidR="00484473" w:rsidRDefault="00484473" w:rsidP="00484473">
      <w:r>
        <w:t>Максим Буйлов, Ольга Базутова</w:t>
      </w:r>
    </w:p>
    <w:p w14:paraId="03759BD1" w14:textId="77777777" w:rsidR="005D5E97" w:rsidRDefault="005D5E97" w:rsidP="005D5E97">
      <w:pPr>
        <w:pStyle w:val="2"/>
      </w:pPr>
      <w:bookmarkStart w:id="131" w:name="_Toc201901972"/>
      <w:r>
        <w:t>Ведомости, 27.06.2025</w:t>
      </w:r>
      <w:r w:rsidRPr="005D5E97">
        <w:t xml:space="preserve">, </w:t>
      </w:r>
      <w:r>
        <w:t>Приток средств граждан во вклады резко замедлился в мае</w:t>
      </w:r>
      <w:bookmarkEnd w:id="131"/>
    </w:p>
    <w:p w14:paraId="51E765B6" w14:textId="77777777" w:rsidR="005D5E97" w:rsidRDefault="005D5E97" w:rsidP="005D5E97">
      <w:pPr>
        <w:pStyle w:val="3"/>
      </w:pPr>
      <w:bookmarkStart w:id="132" w:name="_Toc201901973"/>
      <w:r>
        <w:t>Средства населения в банках в мае практически не изменились и выросли на незначительные 0,2%, или 100 млрд руб., достигнув 59,4 трлн руб., пишет ЦБ в обзоре развития банковского сектора. Относительно мая прошлого года остатки средств граждан в банках увеличились на 21,6%. Месяцем ранее они выросли гораздо существеннее - на 2,8%, или 1,6 трлн руб.</w:t>
      </w:r>
      <w:bookmarkEnd w:id="132"/>
    </w:p>
    <w:p w14:paraId="3535C737" w14:textId="77777777" w:rsidR="005D5E97" w:rsidRDefault="005D5E97" w:rsidP="005D5E97">
      <w:r>
        <w:t>Низкий прирост в мае Банк России связывает с тратами во время праздников, а результат апреля считает несколько завышенным из-за авансирования майских социальных выплат.</w:t>
      </w:r>
    </w:p>
    <w:p w14:paraId="6B28697C" w14:textId="77777777" w:rsidR="005D5E97" w:rsidRDefault="005D5E97" w:rsidP="005D5E97">
      <w:r>
        <w:t>Остатки на рублевых текущих счетах сократились (на 0,8%, или 100 млрд руб.), тогда как средства на срочных вкладах в рублях продолжили расти - за май они прибавили 0,5%, или 200 млрд руб. Максимальные ставки по вкладам снизились к концу мая на 0,4 п. п. до 19,4% годовых.</w:t>
      </w:r>
    </w:p>
    <w:p w14:paraId="0863B874" w14:textId="77777777" w:rsidR="005D5E97" w:rsidRDefault="005D5E97" w:rsidP="005D5E97">
      <w:r>
        <w:lastRenderedPageBreak/>
        <w:t>В валютном разрезе основная часть "скромного" притока пришлась на рублевые средства (0,2%, или 100 млрд руб.), прирост средств в иностранной валюте также был незначительным - на 0,4%, или 14 млрд руб. в рублевом эквиваленте, пишет ЦБ.</w:t>
      </w:r>
    </w:p>
    <w:p w14:paraId="74A7FE19" w14:textId="77777777" w:rsidR="005D5E97" w:rsidRDefault="005D5E97" w:rsidP="005D5E97">
      <w:r>
        <w:t>Средства компаний умеренно увеличились на 253 млрд руб., или 0,4%, достигнув 57,3 трлн руб. (рост на 0,7% год к году) после сокращения на 0,7% в апреле на фоне крупных налоговых выплат, пишет ЦБ. Прирост произошел у компаний из различных отраслей. Увеличились как рублевые средства (на 181 млрд руб., 0,4%), так и валютные (72 млрд руб. в рублевом эквиваленте, 0,9%).</w:t>
      </w:r>
    </w:p>
    <w:p w14:paraId="6BCBFB9E" w14:textId="77777777" w:rsidR="005D5E97" w:rsidRDefault="005D5E97" w:rsidP="005D5E97">
      <w:r>
        <w:t>Банк России снизил ключевую ставку впервые с 2022 г. на заседании 6 июня - до 20% с 21%. Но банки начали снижать доходности своих депозитных продуктов гораздо раньше - с декабря 2024 г., когда ставки по вкладам превышали 22% (рынок ждал очередного повышения "ключа" под конец года).</w:t>
      </w:r>
    </w:p>
    <w:p w14:paraId="0B80C407" w14:textId="77777777" w:rsidR="005D5E97" w:rsidRDefault="005D5E97" w:rsidP="005D5E97">
      <w:r>
        <w:t>После заседания ЦБ к 23 июня все крупные банки снизили ставки по рублевым вкладам, показал индекс вкладов маркетплейса "Финуслуги" на основе депозитных продуктов в топ-20 банков по объему средств населения. В расчете учитываются вклады на сумму 100 000 руб. без специальных условий сроком на 3, 6 и 12 месяцев.</w:t>
      </w:r>
    </w:p>
    <w:p w14:paraId="65ECFC1C" w14:textId="77777777" w:rsidR="005D5E97" w:rsidRDefault="005D5E97" w:rsidP="005D5E97">
      <w:r>
        <w:t>Июньская реакция банков стала самой массовой в этом году, говорится в сообщении "Финуслуг". Например, после сохранения ключевой 25 апреля ставки снизились только в шести банках из топ-20, а после мартовского решения - в девяти. В феврале, когда ключевая ставка также осталась неизменной, корректировки произошли в 14 банках, включая незначительный рост ставок в одном из них.</w:t>
      </w:r>
    </w:p>
    <w:p w14:paraId="4F90A785" w14:textId="77777777" w:rsidR="005D5E97" w:rsidRDefault="005D5E97" w:rsidP="005D5E97">
      <w:r>
        <w:t>26 июня "Финуслуги" зафиксировали снижение ставок по полугодовым вкладам: максимальная ставка по продуктам без специальных условий снизилась до 19% с 19,3%. Максимальные ставки по вкладам на срок 3 и 12 месяцев остались прежними - 20,5 и 19,5% соответственно. На этой неделе ставки по вкладам понизили три банка - на 0,3-2,3 п. п. Eще один, напротив, повысил ставку на 0,26 п. п. по полугодовому вкладу, следует из данных маркетплейса. Средняя ставка по трехмесячным, полугодовым и годовым вкладам в топ-20 к четвергу упала уже до 18,73, 18,01 и 17,14% соответственно.</w:t>
      </w:r>
    </w:p>
    <w:p w14:paraId="7B7781FD" w14:textId="77777777" w:rsidR="005D5E97" w:rsidRDefault="005D5E97" w:rsidP="005D5E97">
      <w:r>
        <w:t>Сбербанк допускает очередное снижение ставок по депозитам до заседания совета директоров Банка России по ключевой ставке 25 июля, говорил первый зампред банка Кирилл Царев в кулуарах ПМЭФа.</w:t>
      </w:r>
    </w:p>
    <w:p w14:paraId="32C2BD99" w14:textId="77777777" w:rsidR="005D5E97" w:rsidRDefault="005D5E97" w:rsidP="005D5E97">
      <w:r>
        <w:t>По прогнозам НКР, в этом году средства граждан в банках вырастут на 15-20% против 28% по итогам 2024 г. и могут достичь 65 трлн руб. Такой же прогноз у "Абсолют банка". У ВТБ оценка 20%, у ПСБ - 23%, писали ранее "Ведомости".</w:t>
      </w:r>
    </w:p>
    <w:p w14:paraId="73F065A1" w14:textId="77777777" w:rsidR="005D5E97" w:rsidRDefault="005D5E97" w:rsidP="005D5E97">
      <w:r>
        <w:t>Заметную поддержку рынку окажет выплата процентов по вкладам, открытым под ставки 20% и выше, считают аналитики НКР: основной объем таких выплат как раз приходится на 2025 г. В первом полугодии 2025 г. вкладчики смогут заработать около 4 трлн руб. процентных доходов по сберегательным продуктам, что на 50% превышает результаты аналогичного периода 2024 г., говорил в ходе ПМЭФа член правления ВТБ Дмитрий Брейтенбихер. В банке ожидают, что за весь 2025 год процентные доходы населения по вкладам и накопительным счетам достигнут рекордных 9 трлн руб. Брейтенбихер отметил, что получаемые проценты по вкладам сегодня покрывают до 10% прогнозируемых годовых расходов россиян.</w:t>
      </w:r>
    </w:p>
    <w:p w14:paraId="6877C387" w14:textId="77777777" w:rsidR="005D5E97" w:rsidRDefault="005D5E97" w:rsidP="005D5E97">
      <w:r>
        <w:lastRenderedPageBreak/>
        <w:t>По прогнозу НКР, максимальная ставка по вкладам к концу года может опуститься ниже 18% (при ключевой 18-19%) - этот уровень все еще сохранит их привлекательность для населения, но приведет к перетоку средств из коротких депозитов в долгосрочные. У Совкомбанка прогноз относительно ключевой оптимистичнее: к концу года в банке ожидают ее снижения до 14% и ставок по депозитам до 12-14%, говорил ранее главный аналитик Совкомбанка Михаил Васильев.</w:t>
      </w:r>
    </w:p>
    <w:p w14:paraId="5594FD90" w14:textId="77777777" w:rsidR="005D5E97" w:rsidRDefault="005D5E97" w:rsidP="005D5E97">
      <w:r>
        <w:t>Екатерина Литова, Мария Викулова</w:t>
      </w:r>
    </w:p>
    <w:p w14:paraId="4FD07040" w14:textId="77777777" w:rsidR="00484473" w:rsidRDefault="00484473" w:rsidP="00484473">
      <w:pPr>
        <w:pStyle w:val="2"/>
      </w:pPr>
      <w:bookmarkStart w:id="133" w:name="_Toc201901974"/>
      <w:r>
        <w:t>РБК</w:t>
      </w:r>
      <w:r w:rsidRPr="00484473">
        <w:t xml:space="preserve">, </w:t>
      </w:r>
      <w:r>
        <w:t>27.06.2025</w:t>
      </w:r>
      <w:r w:rsidRPr="00484473">
        <w:t xml:space="preserve">, </w:t>
      </w:r>
      <w:r>
        <w:t>Биржевая путевка на налоговую льготу</w:t>
      </w:r>
      <w:bookmarkEnd w:id="133"/>
    </w:p>
    <w:p w14:paraId="0A6F3985" w14:textId="77777777" w:rsidR="00484473" w:rsidRDefault="00484473" w:rsidP="00484473">
      <w:pPr>
        <w:pStyle w:val="3"/>
      </w:pPr>
      <w:bookmarkStart w:id="134" w:name="_Toc201901975"/>
      <w:r>
        <w:t>Власти изучат льготы по НДФЛ для инвесторов в IPO. С одной стороны, это привлечет новые деньги на рынок, говорят эксперты. Но с другой - есть риск роста спекуляций, а основными бенефициарами поддержки могут стать инвесторы с наиболее крупными портфелями.</w:t>
      </w:r>
      <w:bookmarkEnd w:id="134"/>
    </w:p>
    <w:p w14:paraId="67FE56DD" w14:textId="77777777" w:rsidR="00484473" w:rsidRDefault="00484473" w:rsidP="00484473">
      <w:r>
        <w:t>Президент Владимир Путин на этой неделе поручил правительству и ЦБ разработать меры стимулирования для инвесторов в акции и для высокотехнологичных компаний, собирающихся выходить на биржи. Ответственными за их исполнение назначены премьер-министр Михаил Мишустин и председатель Банка России Эльвира Набиуллина.</w:t>
      </w:r>
    </w:p>
    <w:p w14:paraId="23575B4A" w14:textId="77777777" w:rsidR="00484473" w:rsidRDefault="00484473" w:rsidP="00484473">
      <w:r>
        <w:t>Одна из мер - попытка сделать более привлекательными инвестиции в IPO и SPO. В поручении говорится об "отмене таких условий, определяемых для целей предоставления налоговых преференций, как минимальный срок владения акциями и предельный размер дохода от их реализации".</w:t>
      </w:r>
    </w:p>
    <w:p w14:paraId="6955FB26" w14:textId="77777777" w:rsidR="00484473" w:rsidRDefault="00484473" w:rsidP="00484473">
      <w:r>
        <w:t>"Сегодня для инвесторов, приобретающих акции на IPO, существуют налоговые риски, которые действительно необходимо устранить. Доля публичных компаний в России остается крайне низкой, а физические лица совершают до 80% торговых операций на рынке и являются его основной движущей силой. Поэтому важно, чтобы частные инвесторы были заинтересованы в участии в первичных размещениях", - рассуждает старший вице-президент, руководитель блока "управление благосостоянием" Сбербанка Руслан Вестеровский.</w:t>
      </w:r>
    </w:p>
    <w:p w14:paraId="2290D5C5" w14:textId="77777777" w:rsidR="00484473" w:rsidRDefault="00484473" w:rsidP="00484473">
      <w:r>
        <w:t>"Скорее всего, [в поручении] речь может идти о сокращении срока для получения льготы долгосрочного владения, например с трех лет до одного года. Кроме того, может быть повышена сумма вычета при инвестировании в указанные инструменты", - рассуждает руководитель направления по взаимодействию с государственными органами УК "Альфа-Капитал" Николай Швайковский. Аналогичного мнения придерживается директор по работе с состоятельными клиентами "БКС Мир инвестиций" Иван Потехин.</w:t>
      </w:r>
    </w:p>
    <w:p w14:paraId="2965AECD" w14:textId="77777777" w:rsidR="00484473" w:rsidRDefault="00484473" w:rsidP="00484473">
      <w:r>
        <w:t>Для чего нужна льгота</w:t>
      </w:r>
    </w:p>
    <w:p w14:paraId="3CEFA5D8" w14:textId="77777777" w:rsidR="00484473" w:rsidRDefault="00484473" w:rsidP="00484473">
      <w:r>
        <w:t>С инициативой о льготах, которая легла в основу поручений, в мае на встрече с Путиным выступил председатель совета директоров компании "Аквариус", член координационного совета и председатель комитета "Деловой России" по IT и вычислительной технике Алексей Калинин.</w:t>
      </w:r>
    </w:p>
    <w:p w14:paraId="50BA3239" w14:textId="77777777" w:rsidR="00484473" w:rsidRDefault="00484473" w:rsidP="00484473">
      <w:r>
        <w:t xml:space="preserve">"Предлагаем создать стимулы в виде льготы по НДФЛ для покупки и владения публичными акциями при первичном приобретении, то естьIPO или SPO. Это обеспечит значительную привлекательность для розничных инвесторов и создаст здоровую конкуренцию акций с депозитами", - предлагал Калинин. "Здесь, конечно, главная задача </w:t>
      </w:r>
      <w:r>
        <w:lastRenderedPageBreak/>
        <w:t>- простимулировать именно тот момент, когда компании выходят на биржу. Мы не говорим о каких-то покупках-продажах акций на вторичном рынке", - поддержал его помощник президента Максим Орешкин.</w:t>
      </w:r>
    </w:p>
    <w:p w14:paraId="12259DFC" w14:textId="77777777" w:rsidR="00484473" w:rsidRDefault="00484473" w:rsidP="00484473">
      <w:r>
        <w:t>В поручениях Путина не содержится прямых указаний на то, акции каких именно компаний могут попасть под расширение налоговой льготы, указан лишь критерий их покупки на IPO или SPO, а не вторичном рынке. По мнению руководителя направления нормотворчества и регуляторных инициатив ассоциации инвесторов АВО Алексея Пономарева, скорее всего, речь может идти о бумагах высокотехнологичных компаний, а не всех эмитентов. Калинин в своих предложениях Путину также упоминал льготу по НДФЛ в контексте необходимости стимулирования выхода на биржу высокотехнологичных компаний.</w:t>
      </w:r>
    </w:p>
    <w:p w14:paraId="482A87E4" w14:textId="77777777" w:rsidR="00484473" w:rsidRDefault="00484473" w:rsidP="00484473">
      <w:r>
        <w:t>В то же время сам перечень высокотехнологичных компаний может расшириться - в перечне поручений есть меры о преобразовании реестра малых технологических компаний в реестр технологических (об этом также просил Калинин). Eсли это предложение будет принято, то на поддержку смогут претендовать и крупные компании.</w:t>
      </w:r>
    </w:p>
    <w:p w14:paraId="22AC0A46" w14:textId="77777777" w:rsidR="00484473" w:rsidRDefault="00484473" w:rsidP="00484473">
      <w:r>
        <w:t>"Вопрос будет проработан совместно с Банком России, "Деловой Россией" и другими заинтересованными участниками рынка", - ответили в Минфине на запрос РБК о поручениях по разработке новых налоговых льгот и мер стимулирования к покупке акций высокотехнологичных компаний.</w:t>
      </w:r>
    </w:p>
    <w:p w14:paraId="3D12EE1B" w14:textId="77777777" w:rsidR="00484473" w:rsidRDefault="00484473" w:rsidP="00484473">
      <w:r>
        <w:t>Какие плюсы и минусы для рынка у такого подхода</w:t>
      </w:r>
    </w:p>
    <w:p w14:paraId="1A455103" w14:textId="77777777" w:rsidR="00484473" w:rsidRDefault="00484473" w:rsidP="00484473">
      <w:r>
        <w:t>Применение льгот может потенциально увеличить объем капитала, инвестированного в инновационные компании, что, в свою очередь, увеличит мультипликаторы таких компаний и может послужить стимулом для дальнейшего развития IT-отрасли, отмечает портфельный управляющий УК "Альфа-Капитал" Никита Зевакин. Быстрорастущие технологические компании часто не платят дивиденды, которые важны для частных инвесторов, вследствие чего многие из них даже не смотрят на данный сегмент рынка, продолжает эксперт. Наличие льготы позволит в какой-то мере компенсировать отсутствие дивидендов и сделает бумаги IT-компаний более привлекательными, считает Зевакин.</w:t>
      </w:r>
    </w:p>
    <w:p w14:paraId="70419357" w14:textId="77777777" w:rsidR="00484473" w:rsidRDefault="00484473" w:rsidP="00484473">
      <w:r>
        <w:t>Минусом расширения льгот может быть рост спекулятивных операций со стороны инвесторов, обращает внимание Потехин. То есть они будут быстро продавать бумаги из портфеля, а не держать их как минимум год, чтобы получить льготу.</w:t>
      </w:r>
    </w:p>
    <w:p w14:paraId="1EBE53BD" w14:textId="77777777" w:rsidR="00484473" w:rsidRDefault="00484473" w:rsidP="00484473">
      <w:r>
        <w:t>Eще один риск заключается в том, что ряд инвесторов будут надеяться на льготу и "забудут", что цена актива - это в первую очередь производная от результатов бизнеса, говорит Зевакин. То есть они не будут должным образом подходить к выбору бумаги и могут по итогу получить ее переоценку вниз, а не льготу на положительный финрезультат.</w:t>
      </w:r>
    </w:p>
    <w:p w14:paraId="069F3921" w14:textId="77777777" w:rsidR="00484473" w:rsidRDefault="00484473" w:rsidP="00484473">
      <w:r>
        <w:t>Куда важнее льгот является повышение качества корпоративного управления, убежден Пономарев. В качестве негативного примера он приводит практики допэмиссий. "Когда миноритарий видит, что его долю размывают очередной допэмиссией, интерес пропадает и налоговые стимулы тут ни при чем", - продолжает эксперт. Eсли компания сама "уничтожает свою акционерную стоимость", ее котировки падают - никакие дополнительные налоговые льготы не стимулируют инвесторов вкладывать в нее деньги, заключает Пономарев.</w:t>
      </w:r>
    </w:p>
    <w:p w14:paraId="255F54B2" w14:textId="77777777" w:rsidR="00484473" w:rsidRDefault="00484473" w:rsidP="00484473">
      <w:r>
        <w:lastRenderedPageBreak/>
        <w:t>Основной эффект даст все- таки качество эмитентов, их надежность и прозрачность, согласен управляющий директор по рынкам акционерного капитала "Финама" Леонид Павликов. "Без этого никакие стимулы не дадут устойчивого эффекта", - резюмирует эксперт.</w:t>
      </w:r>
    </w:p>
    <w:p w14:paraId="554102DC" w14:textId="77777777" w:rsidR="00484473" w:rsidRDefault="00484473" w:rsidP="00484473">
      <w:r>
        <w:t>Только налоговыми стимулами невозможно полностью решить задачу повышения интереса инвесторов, подчеркивает Вестеровский: "Для этого необходима не только привлекательная доходность, но и качественная работа брокеров, прозрачность ценообразования, ответственность компаний за выполнение прогнозов и наличие самих прогнозов финансовых показателей".</w:t>
      </w:r>
    </w:p>
    <w:p w14:paraId="3A1795BA" w14:textId="77777777" w:rsidR="00484473" w:rsidRDefault="00484473" w:rsidP="00484473">
      <w:r>
        <w:t>Почему главными бенефициарами могут оказаться самые состоятельные инвесторы</w:t>
      </w:r>
    </w:p>
    <w:p w14:paraId="35D7D850" w14:textId="77777777" w:rsidR="00484473" w:rsidRDefault="00484473" w:rsidP="00484473">
      <w:r>
        <w:t>В поручении Путина не уточняется, какой именно предельный размер дохода предлагается отменить в рамках льготы - 3 млн руб. в год или 50 млн за весь период.</w:t>
      </w:r>
    </w:p>
    <w:p w14:paraId="34924370" w14:textId="77777777" w:rsidR="00484473" w:rsidRDefault="00484473" w:rsidP="00484473">
      <w:r>
        <w:t>Наиболее выгодной новая льгота может стать для акционеров с крупными портфелями, чьи доходы от продажи бумаг на вторичном рынке могут значительно превышать необлагаемые льготой 3 млн руб. в год, полагает Пономарев.</w:t>
      </w:r>
    </w:p>
    <w:p w14:paraId="6A31F960" w14:textId="77777777" w:rsidR="00484473" w:rsidRDefault="00484473" w:rsidP="00484473">
      <w:r>
        <w:t>"Любой стимул для инвесторов с крупным капиталом - это уже само по себе позитивно для рынка, так как создает дополнительный "спрос" на акции. Вдвойне позитивно, что спрос идет от крупных чеков. Ожидаем, что подобная мера окажет положительный эффект и, безусловно, будет способствовать привлечению состоятельных инвесторов", - считает Зевакин. Благодаря новым льготам состоятельные инвесторы могут сильнее заинтересоваться размещением своего капитала в IPO и SPO, соглашается Потехин. Их привлечение позитивно для рынка, считает он.</w:t>
      </w:r>
    </w:p>
    <w:p w14:paraId="1A38C1FA" w14:textId="77777777" w:rsidR="00484473" w:rsidRDefault="00484473" w:rsidP="00484473">
      <w:r>
        <w:t>По мнению Пономарева, ограничение по прибыли, очевидно, может не устраивать некоторых акционеров - например, топ-менеджмент и бенефициаров IT-компаний, которые получили акции бесплатно, поэтому для них вся цена продажи на вторичном рынке будет признаваться прибылью. "Складывается неприятное ощущение, что корректировка льготы вызвана желанием лиц, бесплатно получающих акции в ходе многочисленных допэмиссий, еще и избежать обязанности платить НДФЛ", - отмечает эксперт.</w:t>
      </w:r>
    </w:p>
    <w:p w14:paraId="0E764F18" w14:textId="77777777" w:rsidR="00484473" w:rsidRDefault="00484473" w:rsidP="00484473">
      <w:r>
        <w:t>По данным ЦБ, средний размер портфеля частного инвестора в первом квартале 2025 года составил 2,1 млн руб. Но эти расчеты произведены без учета портфелей инвесторов с активами на сумму от 0 до 10 тыс. руб., а такие портфели - у большинства российских частных инвесторов. У 64% физлиц брокерские счета пустые, а у 26% объем активов на них не превышает 10 тыс. руб., следует из данных ЦБ. Всего по состоянию на 1 июня 2025 года 36,9 млн физлиц имеют брокерские счета, приводила данные Мосбиржа.</w:t>
      </w:r>
    </w:p>
    <w:p w14:paraId="6BC4F2D4" w14:textId="77777777" w:rsidR="00484473" w:rsidRDefault="00484473" w:rsidP="00484473">
      <w:r>
        <w:t>***</w:t>
      </w:r>
    </w:p>
    <w:p w14:paraId="7DA4A82C" w14:textId="77777777" w:rsidR="00484473" w:rsidRDefault="00484473" w:rsidP="00484473">
      <w:r>
        <w:t>Риск заключается в том, что ряд инвесторов будут надеяться на льготу и "забудут", что цена актива - это в первую очередь производная от результатов бизнеса, отмечает портфельный управляющий УК "Альфа-Капитал" Никита Зевакин</w:t>
      </w:r>
    </w:p>
    <w:p w14:paraId="30D49540" w14:textId="77777777" w:rsidR="00484473" w:rsidRDefault="00484473" w:rsidP="00484473">
      <w:r>
        <w:t>***</w:t>
      </w:r>
    </w:p>
    <w:p w14:paraId="666E7610" w14:textId="77777777" w:rsidR="00484473" w:rsidRDefault="00484473" w:rsidP="00484473">
      <w:r>
        <w:t>На что похожи новые льготы</w:t>
      </w:r>
    </w:p>
    <w:p w14:paraId="36B43E65" w14:textId="77777777" w:rsidR="00484473" w:rsidRDefault="00484473" w:rsidP="00484473">
      <w:r>
        <w:lastRenderedPageBreak/>
        <w:t>Сейчас эти условия действуют для льготы на долгосрочное владение бумагами (ЛДВ, позволяет освободить от НДФЛ часть дохода, полученного при продаже активов). Инвестор должен держать на своем счету акции обычных российских компаний (в том числе купленные на вторичном рынке) не менее трех лет, а высокотехнологичных-не менее года. При долгосрочном владении НДФЛ не взимается с биржевых доходов в пределах 3 млн руб. в год. То есть общая сумма льготы составляет 3 млн руб., умноженные на количество лет (не менее трех), в течение которых инвестор держал акцию. Для высокотехнологичных компаний действует потолок в размере 50 млн руб. в год.</w:t>
      </w:r>
    </w:p>
    <w:p w14:paraId="3BCA88D3" w14:textId="77777777" w:rsidR="00484473" w:rsidRDefault="00484473" w:rsidP="00484473">
      <w:r>
        <w:t>Кроме того, существует и пятилетняя льгота. Она действует только для акций эмитентов, 50% которых состоит из недвижимости и тоже имеет лимит 50 млн руб.</w:t>
      </w:r>
    </w:p>
    <w:p w14:paraId="63EFE236" w14:textId="77777777" w:rsidR="00EE252C" w:rsidRDefault="00EE252C" w:rsidP="00EE252C">
      <w:pPr>
        <w:pStyle w:val="2"/>
      </w:pPr>
      <w:bookmarkStart w:id="135" w:name="_Toc201901976"/>
      <w:r>
        <w:t>РБК Инвестиции, 26.06.2025</w:t>
      </w:r>
      <w:r w:rsidRPr="00EE252C">
        <w:t xml:space="preserve">, </w:t>
      </w:r>
      <w:r>
        <w:t>ЦБ: объем средств россиян в банках в мае не изменился</w:t>
      </w:r>
      <w:bookmarkEnd w:id="135"/>
    </w:p>
    <w:p w14:paraId="04C6307A" w14:textId="77777777" w:rsidR="00EE252C" w:rsidRDefault="00EE252C" w:rsidP="00EE252C">
      <w:pPr>
        <w:pStyle w:val="3"/>
      </w:pPr>
      <w:bookmarkStart w:id="136" w:name="_Toc201901977"/>
      <w:r>
        <w:t>Рублевые средства населения в банках в мае практически не изменились после существенного увеличения в апреле. В ЦБ связывают такую динамику с тратами во время праздников</w:t>
      </w:r>
      <w:bookmarkEnd w:id="136"/>
    </w:p>
    <w:p w14:paraId="423E594A" w14:textId="77777777" w:rsidR="00EE252C" w:rsidRDefault="00EE252C" w:rsidP="00EE252C">
      <w:r>
        <w:t>Средства населения в банках в мае незначительно увеличились-на 0,2% (+ 0,1 трлн) по сравнению с существенным приростом в апреле (+2,8%, + 1,6 трлн). На 1 июня 2025 года их объем составлял 59,4 трлн. Об этом говорится в аналитическом материале Банка России "О развитии банковского сектора Российской Федерации в мае 2025 года".</w:t>
      </w:r>
    </w:p>
    <w:p w14:paraId="6CF442B9" w14:textId="77777777" w:rsidR="00EE252C" w:rsidRDefault="00EE252C" w:rsidP="00EE252C">
      <w:r>
        <w:t>В ЦБ связывают низкий прирост средств с тратами во время праздников, а также отмечают, что результат апреля был несколько завышен из-за авансирования майских социальных выплат.</w:t>
      </w:r>
    </w:p>
    <w:p w14:paraId="71B0A10D" w14:textId="77777777" w:rsidR="00EE252C" w:rsidRDefault="00EE252C" w:rsidP="00EE252C">
      <w:r>
        <w:t>Остатки на рублевых текущих счетах сократились (- 0,1 трлн, -0,8%), тогда как средства на срочных вкладах в рублях продолжили расти (+ 0,2 трлн, +0,5%). Рублевые средства выросли на скромные 0,2% (+ 0,1 трлн), прирост средств в иностранной валюте также был незначительным (+ 14 млрд в рублевом эквиваленте, +0,4%).</w:t>
      </w:r>
    </w:p>
    <w:p w14:paraId="201F54A7" w14:textId="77777777" w:rsidR="00EE252C" w:rsidRDefault="00EE252C" w:rsidP="00EE252C">
      <w:r>
        <w:t>В ЦБ отметили, что максимальные ставки по вкладам в мае продолжили снижение (на 0,4 п.п., до 19,4% к концу мая).</w:t>
      </w:r>
    </w:p>
    <w:p w14:paraId="6CFF57EB" w14:textId="77777777" w:rsidR="00EE252C" w:rsidRDefault="00EE252C" w:rsidP="00EE252C">
      <w:r>
        <w:t>По данным Банка России, средняя максимальная ставка по вкладам в топ-10 банков в первой декаде июня резко снизилась - на 0,52 п.п. - и составила 18,87% годовых. Активное падение ставок продолжается на всех сроках, но наиболее сильно в первой декаде снизились ставки по депозитам свыше одного года - они потеряли сразу 1,02 п.п.</w:t>
      </w:r>
    </w:p>
    <w:p w14:paraId="1ADCB6A1" w14:textId="77777777" w:rsidR="00EE252C" w:rsidRDefault="00EE252C" w:rsidP="00EE252C">
      <w:r>
        <w:t xml:space="preserve">"РБК Инвестиции " подсчитали среднюю максимальную ставку по вкладам в топ-10 крупнейших банков. На 26 июня в зависимости от срока она составляет:  </w:t>
      </w:r>
    </w:p>
    <w:p w14:paraId="2056F377" w14:textId="77777777" w:rsidR="00EE252C" w:rsidRDefault="00EE252C" w:rsidP="00EE252C">
      <w:r>
        <w:t>•</w:t>
      </w:r>
      <w:r>
        <w:tab/>
        <w:t xml:space="preserve">на три месяца - 18,65% (-0,03 п.п. за неделю, с 19 июня); </w:t>
      </w:r>
    </w:p>
    <w:p w14:paraId="42C6DFD1" w14:textId="77777777" w:rsidR="00EE252C" w:rsidRDefault="00EE252C" w:rsidP="00EE252C">
      <w:r>
        <w:t>•</w:t>
      </w:r>
      <w:r>
        <w:tab/>
        <w:t xml:space="preserve">на шесть месяцев - 18,38% (-0,03 п.п.); </w:t>
      </w:r>
    </w:p>
    <w:p w14:paraId="6285289E" w14:textId="77777777" w:rsidR="00EE252C" w:rsidRDefault="00EE252C" w:rsidP="00EE252C">
      <w:r>
        <w:t>•</w:t>
      </w:r>
      <w:r>
        <w:tab/>
        <w:t xml:space="preserve">на один год - 17,38% (-0,06 п.п.). </w:t>
      </w:r>
    </w:p>
    <w:p w14:paraId="2974317B" w14:textId="77777777" w:rsidR="00EE252C" w:rsidRDefault="00EE252C" w:rsidP="00EE252C">
      <w:r>
        <w:t xml:space="preserve">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w:t>
      </w:r>
      <w:r>
        <w:lastRenderedPageBreak/>
        <w:t>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699B0DBA" w14:textId="77777777" w:rsidR="00EE252C" w:rsidRDefault="00EE252C" w:rsidP="00EE252C">
      <w:r>
        <w:t>Индексы доходности вкладов продолжают фиксировать снижение процентных ставок. На 26 июня в 85 крупнейших банках средняя ставка по вкладам сроком на один год на сумму от 100 тыс. составляет 15,24% годовых, по данным ежедневного индекса FRG100. Это минимальное значение индекса со 2 октября 2024 года, за прошедшую неделю он потерял 0,13 п.п., за месяц - 0,81 п.п.</w:t>
      </w:r>
    </w:p>
    <w:p w14:paraId="7C6A94CC" w14:textId="77777777" w:rsidR="00EE252C" w:rsidRDefault="00EE252C" w:rsidP="00EE252C">
      <w:r>
        <w:t xml:space="preserve">В разрезе срочности, по состоянию на 26 июня, индекс FRG100 также фиксирует снижение ставок по депозитам. При этом наиболее сильно снижаются ставки по вкладам на шесть месяцев:  </w:t>
      </w:r>
    </w:p>
    <w:p w14:paraId="1FDB5C75" w14:textId="77777777" w:rsidR="00EE252C" w:rsidRDefault="00EE252C" w:rsidP="00EE252C">
      <w:r>
        <w:t>•</w:t>
      </w:r>
      <w:r>
        <w:tab/>
        <w:t xml:space="preserve">на один месяц - 15,55% (-0,07 п.п. за неделю); </w:t>
      </w:r>
    </w:p>
    <w:p w14:paraId="3D76C234" w14:textId="77777777" w:rsidR="00EE252C" w:rsidRDefault="00EE252C" w:rsidP="00EE252C">
      <w:r>
        <w:t>•</w:t>
      </w:r>
      <w:r>
        <w:tab/>
        <w:t xml:space="preserve">на три месяца - 16,48% (-0,1 п.п.); </w:t>
      </w:r>
    </w:p>
    <w:p w14:paraId="10052C98" w14:textId="77777777" w:rsidR="00EE252C" w:rsidRDefault="00EE252C" w:rsidP="00EE252C">
      <w:r>
        <w:t>•</w:t>
      </w:r>
      <w:r>
        <w:tab/>
        <w:t xml:space="preserve">на шесть месяцев - 16,30% (-0,17 п.п.); </w:t>
      </w:r>
    </w:p>
    <w:p w14:paraId="318C85AE" w14:textId="77777777" w:rsidR="00EE252C" w:rsidRDefault="00EE252C" w:rsidP="00EE252C">
      <w:r>
        <w:t>•</w:t>
      </w:r>
      <w:r>
        <w:tab/>
        <w:t xml:space="preserve">на три года - 11,55% (-0,04 п.п.). </w:t>
      </w:r>
    </w:p>
    <w:p w14:paraId="76F14278" w14:textId="77777777" w:rsidR="00EE252C" w:rsidRDefault="00EE252C" w:rsidP="00EE252C">
      <w:r>
        <w:t xml:space="preserve">По данным на 25 июня, согласно индексу доходности вкладов платформы "Финуслуги", который оценивает динамику ставок топ-20 банков по размеру депозитного портфеля, по вкладам от 100 тыс. зафиксированы следующие средние ставки в зависимости от срока:  </w:t>
      </w:r>
    </w:p>
    <w:p w14:paraId="208FE2C4" w14:textId="77777777" w:rsidR="00EE252C" w:rsidRDefault="00EE252C" w:rsidP="00EE252C">
      <w:r>
        <w:t>•</w:t>
      </w:r>
      <w:r>
        <w:tab/>
        <w:t xml:space="preserve">на три месяца - 18,73%; </w:t>
      </w:r>
    </w:p>
    <w:p w14:paraId="4AFB45B4" w14:textId="77777777" w:rsidR="00EE252C" w:rsidRDefault="00EE252C" w:rsidP="00EE252C">
      <w:r>
        <w:t>•</w:t>
      </w:r>
      <w:r>
        <w:tab/>
        <w:t xml:space="preserve">на шесть месяцев - 18,01%; </w:t>
      </w:r>
    </w:p>
    <w:p w14:paraId="24ADF5B1" w14:textId="77777777" w:rsidR="00EE252C" w:rsidRDefault="00EE252C" w:rsidP="00EE252C">
      <w:r>
        <w:t>•</w:t>
      </w:r>
      <w:r>
        <w:tab/>
        <w:t xml:space="preserve">на год - 17,14%. </w:t>
      </w:r>
    </w:p>
    <w:p w14:paraId="40B73EF9" w14:textId="77777777" w:rsidR="00EE252C" w:rsidRDefault="00EE252C" w:rsidP="00EE252C">
      <w:r>
        <w:t xml:space="preserve">По данным мониторинга "РБК Инвестиций", на текущей неделе, с 23 июня, половина банков из топ-10 изменили ставки или условия по сберегательным продуктам:  </w:t>
      </w:r>
    </w:p>
    <w:p w14:paraId="50F7AEB9" w14:textId="77777777" w:rsidR="00EE252C" w:rsidRDefault="00EE252C" w:rsidP="00EE252C">
      <w:r>
        <w:t>•</w:t>
      </w:r>
      <w:r>
        <w:tab/>
        <w:t xml:space="preserve">Сбербанк снизил максимальную ставку по накопительному счету с начислением процентов на ежедневный остаток до 16%; </w:t>
      </w:r>
    </w:p>
    <w:p w14:paraId="48F6C7FF" w14:textId="77777777" w:rsidR="00EE252C" w:rsidRDefault="00EE252C" w:rsidP="00EE252C">
      <w:r>
        <w:t>•</w:t>
      </w:r>
      <w:r>
        <w:tab/>
        <w:t xml:space="preserve">МКБ ввел срок три месяца по пенсионному депозиту "МКБ. Гранд", тем самым повысив максимальную ставку в этой линейке до 20,7% годовых; </w:t>
      </w:r>
    </w:p>
    <w:p w14:paraId="3E6364D8" w14:textId="77777777" w:rsidR="00EE252C" w:rsidRDefault="00EE252C" w:rsidP="00EE252C">
      <w:r>
        <w:t>•</w:t>
      </w:r>
      <w:r>
        <w:tab/>
        <w:t xml:space="preserve">Газпромбанк снизил ставки по всей линейке вкладов до одного года; </w:t>
      </w:r>
    </w:p>
    <w:p w14:paraId="062078D5" w14:textId="77777777" w:rsidR="00EE252C" w:rsidRDefault="00EE252C" w:rsidP="00EE252C">
      <w:r>
        <w:t>•</w:t>
      </w:r>
      <w:r>
        <w:tab/>
        <w:t xml:space="preserve">Почта Банк сократил срок вкладов с максимальной ставкой до шести месяцев; </w:t>
      </w:r>
    </w:p>
    <w:p w14:paraId="26C825FF" w14:textId="77777777" w:rsidR="00EE252C" w:rsidRDefault="00EE252C" w:rsidP="00EE252C">
      <w:r>
        <w:t>•</w:t>
      </w:r>
      <w:r>
        <w:tab/>
        <w:t xml:space="preserve">Совкомбанк снизил ставку по накопительному счету "Онлайн-копилка" до 19%, а также скорректировал базовые ставки по ряду вкладов. </w:t>
      </w:r>
    </w:p>
    <w:p w14:paraId="67667E54" w14:textId="77777777" w:rsidR="00EE252C" w:rsidRDefault="00EE252C" w:rsidP="00EE252C">
      <w:r>
        <w:t>Также Газпромбанк снизит ставки по накопительным счетам с 30 июня, а МКБ предупредил клиентов о снижении максимальной ставки по накопительному счету до 21% годовых с 1 июля.</w:t>
      </w:r>
    </w:p>
    <w:p w14:paraId="62093C6C" w14:textId="77777777" w:rsidR="00EE252C" w:rsidRDefault="00EE252C" w:rsidP="00EE252C">
      <w:r>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175FE842" w14:textId="77777777" w:rsidR="00EE252C" w:rsidRDefault="00EE252C" w:rsidP="00EE252C">
      <w:r>
        <w:t xml:space="preserve">Стоимость компании на рынке, рассчитанная из количества акций компании, умноженного на их текущую цену. Капитализация фондового рынка - суммарная </w:t>
      </w:r>
      <w:r>
        <w:lastRenderedPageBreak/>
        <w:t>стоимость ценных бумаг, обращающихся на этом рынке.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555DEA77" w14:textId="77777777" w:rsidR="00EE252C" w:rsidRDefault="00EE252C" w:rsidP="00EE252C">
      <w:hyperlink r:id="rId43" w:history="1">
        <w:r w:rsidRPr="00BD0F8C">
          <w:rPr>
            <w:rStyle w:val="a3"/>
          </w:rPr>
          <w:t>https://www.rbc.ru/quote/news/article/685d09219a79479801214cdc</w:t>
        </w:r>
      </w:hyperlink>
      <w:r w:rsidRPr="005C3B6A">
        <w:t xml:space="preserve"> </w:t>
      </w:r>
    </w:p>
    <w:p w14:paraId="0EF8C3CE" w14:textId="77777777" w:rsidR="00F150A1" w:rsidRDefault="00F150A1" w:rsidP="00F150A1">
      <w:pPr>
        <w:pStyle w:val="2"/>
      </w:pPr>
      <w:bookmarkStart w:id="137" w:name="_Toc201901978"/>
      <w:r>
        <w:t>РБК, 27.06.2025</w:t>
      </w:r>
      <w:r w:rsidRPr="00F150A1">
        <w:t xml:space="preserve">, </w:t>
      </w:r>
      <w:r>
        <w:t>«Нам дали такой пинок, что мы хорошо полетели»</w:t>
      </w:r>
      <w:bookmarkEnd w:id="137"/>
    </w:p>
    <w:p w14:paraId="787C70E0" w14:textId="77777777" w:rsidR="00F150A1" w:rsidRDefault="00F150A1" w:rsidP="00F150A1">
      <w:pPr>
        <w:pStyle w:val="3"/>
      </w:pPr>
      <w:bookmarkStart w:id="138" w:name="_Toc201901979"/>
      <w:r>
        <w:t>Алексей Калинин вместе с другими представителями "Деловой России"13 мая встретился с президентом страны Владимиром Путиным и предложил расширить меры поддержки технологических компаний. В частности, он попросил распространить льготы на все компании, а не только на малые, установить льготы по НДФЛ для приобретения акций публичных компаний розничными инвесторами и рассмотреть меры поддержки профессиональных инвесторов со стороны Банка России: снизить резервные требования для банков и НПФ, вкладывающих средства в акции компаний, работающих по проектам технологического суверенитета.</w:t>
      </w:r>
      <w:bookmarkEnd w:id="138"/>
    </w:p>
    <w:p w14:paraId="590346AC" w14:textId="77777777" w:rsidR="00F150A1" w:rsidRDefault="00F150A1" w:rsidP="00F150A1">
      <w:r>
        <w:t>Про меры поддержки</w:t>
      </w:r>
    </w:p>
    <w:p w14:paraId="6DBB13B7" w14:textId="77777777" w:rsidR="00F150A1" w:rsidRDefault="00F150A1" w:rsidP="00F150A1">
      <w:r>
        <w:t>Как пояснил Калинин, распространение предложенных им на встрече с президентом мер необходимо для роста капитализации и оборота рынка ценных бумаг, а также создания условий, при которых акции смогут конкурировать с депозитами, что особенно важно при текущей высокой ключевой ставке. По его словам, государственное стимулирование привлечения денег с рынков капитала не только для малых, но и для средних и крупных промышленных предприятий позволит за пять-десять лет заместить бюджетное субсидирование стандартными рыночными инструментами: "Там есть свободные деньги: это деньги тех инвесторов, кому теперь сложнее покупать акции зарубежных компаний, и тех, кто готов и хочет поддержать российские компании. Эти деньги должны работать, а не лежать на счетах. Мы не просим у государства ничего лишнего. Дать льготы средним и более крупным компаниям. А если ЦБ пойдет навстречу с точки зрения профессиональных инвесторов, то это позволит привлечь не только деньги физлиц, но и профессионалов. Сейчас мы имеем ситуацию, когда ставка высокая и кредитные деньги привлекать невозможно. Но и IPO провести нельзя, потому что ставка высокая и все деньги держат на депозитах. Этот порочный круг мы стараемся сейчас разорвать. Это важно не только для рынка вычислительных технологий, но и для всей электронной промышленности".</w:t>
      </w:r>
    </w:p>
    <w:p w14:paraId="3CF04E83" w14:textId="77777777" w:rsidR="00F150A1" w:rsidRDefault="00F150A1" w:rsidP="00F150A1">
      <w:r>
        <w:t>Он считает, что было бы правильно, чтобы, например, льгота по НДФЛ распространялась и на первичную покупку акций - при IPO или SPO. Аналогичная льгота, только по налогу на прибыль, должна распространяться на институциональных инвесторов.</w:t>
      </w:r>
    </w:p>
    <w:p w14:paraId="6A00DB51" w14:textId="77777777" w:rsidR="00F150A1" w:rsidRDefault="00F150A1" w:rsidP="00F150A1">
      <w:r>
        <w:t xml:space="preserve">"Отрасль вообще и "Аквариус" в частности буквально за пару лет сделали рывок от концепции импортозамещения к технологической независимости, и, несмотря ни на что, продолжаем цифровую трансформацию государства. Начали активно развивать экспорт. </w:t>
      </w:r>
      <w:r>
        <w:lastRenderedPageBreak/>
        <w:t>Многие компании, включая нашу, замахнулись даже на IPO. Но по факту электроника - это настолько сложный бизнес, тем более с учетом санкций, закрытого доступа к технологиям, широкому экспорту, логистическим цепочкам, что отрасли никак не справиться без субсидий и привлечения рыночных инструментов", - считает Калинин.</w:t>
      </w:r>
    </w:p>
    <w:p w14:paraId="3DEAA990" w14:textId="77777777" w:rsidR="00F150A1" w:rsidRDefault="00F150A1" w:rsidP="00F150A1">
      <w:r>
        <w:t>О поиске инвесторов и возможном IPO</w:t>
      </w:r>
    </w:p>
    <w:p w14:paraId="6E77CBCE" w14:textId="77777777" w:rsidR="00F150A1" w:rsidRDefault="00F150A1" w:rsidP="00F150A1">
      <w:r>
        <w:t>В ноябре 2024 года источники РБК говорили, что 12% "Аквариуса" купила структура "Сбера" - "СберИнвест". Позже информация об этом появилась в отчетности компании.</w:t>
      </w:r>
    </w:p>
    <w:p w14:paraId="04D29D85" w14:textId="77777777" w:rsidR="00F150A1" w:rsidRDefault="00F150A1" w:rsidP="00F150A1">
      <w:r>
        <w:t>Калинин отказался раскрыть детали, но отметил, что "СберИнвест" выступает как финансовый инвестор, предоставив деньги на развитие. "Сбер" не участвует в управлении компанией, но имеет одно место в совете директоров и согласующую функцию права вето по ряду ключевых вопросов развития компании. Калинин не исключил, что в будущем "Сбер" может увеличить долю в "Аквариусе": "Сегодня для "Сбера" это финансовая инвестиция. Она может превратиться в стратегическую, если мы решим делать какие-то совместные проекты, если "Сбер" перестанет быть для нас только банком-кредитором и заказчиком. Честно говоря, нам было приятно, что мы стали объектом их интереса в рамках этого партнерства. Eсли это выльется во что-то большее, не исключаю ни одного сценария, но сегодня об этом разговоров нет".</w:t>
      </w:r>
    </w:p>
    <w:p w14:paraId="1EF19836" w14:textId="77777777" w:rsidR="00F150A1" w:rsidRDefault="00F150A1" w:rsidP="00F150A1">
      <w:r>
        <w:t>По словам Калинина, любой проект компании, будь то выпуск нового сервера или новой линейки продуктов, требует долгосрочных инвестиций в миллиарды рублей.</w:t>
      </w:r>
    </w:p>
    <w:p w14:paraId="35691F7E" w14:textId="77777777" w:rsidR="00F150A1" w:rsidRDefault="00F150A1" w:rsidP="00F150A1">
      <w:r>
        <w:t>"Любой "вычтех" в нашей стране, любая компания, которая занимается электроникой, всегда нуждается и ищет те или иные возможности привлечения капитала. Раньше для нас это было банковское кредитование, но что нам с этой ставкой делать? Пока те меры поддержки, о которых мы говорим, не приняты, IPO - это абстрактная история. Любая компания, которая занимается технологиями в любой стране, постоянно привлекает инвесторов и инвестиции, так как специфика отрасли в больших капитальных затратах и длительных сроках окупаемости. В России пока эти функции в основном берет на себя бюджетная система, но постепенно надо приходить и к рыночным формам. Это можно замещать мерами господдержки, например субсидированием ставки", - сказал он.</w:t>
      </w:r>
    </w:p>
    <w:p w14:paraId="1CE9F061" w14:textId="77777777" w:rsidR="00F150A1" w:rsidRDefault="00F150A1" w:rsidP="00F150A1">
      <w:r>
        <w:t>С 16 июня 70% "Ай Кью Холдинга" и 99,99% "Аквариус технологии" (обе компании входят в группу) находятся в залоге у "СберИнвеста". Представитель "Аквариуса" назвал частичный залог долей стандартным инструментом обеспечения при корпоративном кредитовании, который "по умолчанию не подразумевает никаких продаж". "Коммерческие условия соответствующих соглашений носят конфиденциальный характер и не подлежат раскрытию", - отметил он. В начале июня CNews со ссылкой на источники писал, что на покупку 51% "Аквариуса" претендуют Уральская горно-металлургическая компания и "Трансмашхолдинг". Представитель группы отказался комментировать эту информацию, назвав ее слухом.</w:t>
      </w:r>
    </w:p>
    <w:p w14:paraId="55B77747" w14:textId="77777777" w:rsidR="00F150A1" w:rsidRDefault="00F150A1" w:rsidP="00F150A1">
      <w:r>
        <w:t>Eще в 2023 году сообщалось о планах "Аквариуса" разместить акции на бирже в перспективе трех лет. В конце 2024 года компания изменила организационную структуру с ООО на АО. Сейчас Калинин оценивает время на подготовку размещения в полгода с момента, когда все нужные для этого меры будут приняты и рынок изменится. Причем достаточно будет хотя бы смены тренда.</w:t>
      </w:r>
    </w:p>
    <w:p w14:paraId="7A67C7EA" w14:textId="77777777" w:rsidR="00F150A1" w:rsidRDefault="00F150A1" w:rsidP="00F150A1">
      <w:r>
        <w:t xml:space="preserve">"ЦБ начал снижать ставку, это уже позитив. Но ключевая штука здесь не ставка, а покупательная способность рынка. Сколько денег он может заплатить при размещении? </w:t>
      </w:r>
      <w:r>
        <w:lastRenderedPageBreak/>
        <w:t>Пока чек, который можно собрать, для нас маленький. Для каких-то небольших компаний, наверное, это теоретически может быть интересно. В целом мы до сих пор рассматриваем IPO как один из возможных инструментов привлечения средств. Но мы хотели бы выйти на рынок, когда будут более подходящие условия. Не только для нас, но и для наших инвесторов. Сейчас слишком много факторов, в том числе геополитических, которые непредсказуемо могут повлиять и на нас, и на потенциальных инвесторов. IPO - это не только "получить деньги", но и про ответственность перед инвесторами. Мы, когда готовились к IPO, подумали над обширной программой для инвесторов даже с одной акцией - например, чтобы они на производство съездили", - рассказал он.</w:t>
      </w:r>
    </w:p>
    <w:p w14:paraId="7A6D5623" w14:textId="77777777" w:rsidR="00F150A1" w:rsidRDefault="00F150A1" w:rsidP="00F150A1">
      <w:r>
        <w:t>О перспективе возвращения иностранных игроков</w:t>
      </w:r>
    </w:p>
    <w:p w14:paraId="4F8E7FEA" w14:textId="77777777" w:rsidR="00F150A1" w:rsidRDefault="00F150A1" w:rsidP="00F150A1">
      <w:r>
        <w:t>"Мне очень понравилось, как ответил президент про 999 абсолютно законных причин, почему мы их (иностранные компании. - РБК) не пустим, и одну, по которой мы будем судиться лет 15-20. Мы же говорим в первую очередь про компании, которые заблокировали своих заказчиков, отказали им в сервисе, техподдержке. Какие-то компании, типа Microsoft, вели себя максимально некорректно, рассказывали, какие мы плохие. У меня большая уверенность, как у патриота, что им будет непросто возвращаться", - сообщил Калинин.</w:t>
      </w:r>
    </w:p>
    <w:p w14:paraId="28CE0FF2" w14:textId="77777777" w:rsidR="00F150A1" w:rsidRDefault="00F150A1" w:rsidP="00F150A1">
      <w:r>
        <w:t>Отдельные "нормальные" компании, по его мнению, могут быть полезны, но нужно ориентироваться на опыт восточных стран. Например, трансфер технологий и только на условиях создания СП, когда зарубежный игрок будет передавать технологии и т.д. По его мнению, такая политика не сильно отразится на технологическом развитии страны, поскольку российские предприятия за эти три года "достаточно далеко ушли вперед". Теперь задача - научиться конкурировать с зарубежными игроками в других странах, хотя и сейчас в России компания конкурирует с продукцией, завозимой через параллельный импорт.</w:t>
      </w:r>
    </w:p>
    <w:p w14:paraId="04468BE3" w14:textId="77777777" w:rsidR="00F150A1" w:rsidRDefault="00F150A1" w:rsidP="00F150A1">
      <w:r>
        <w:t>"Наша стратегия, как и стратегия отрасли, не зависит от возвращения иностранных вендоров. Рынок, отрасль, "Аквариус" продолжают инвестировать в себя, свой бизнес, отношения, новые продукты, технологии и т.д. Для нас открытые границы - это прежде всего доступ к технологиям, из-за санкций рынок сейчас от них отрезан. Как только доступ откроют, российская отрасль им воспользуется. Это ускорит развитие рынка, - уверен Калинин. - Но если раньше наш рынок был структурирован, то сейчас - нет, появилось больше источников поставок, их количество практически не поддается счету. Хотя прямой официальный импорт намного лучше: это гарантированные источник, снабжение, поддержка. С параллельным импортом ты не понимаешь, что может произойти. Поэтому открытие границ лучше для всего рынка со всех точек зрения".</w:t>
      </w:r>
    </w:p>
    <w:p w14:paraId="21713632" w14:textId="77777777" w:rsidR="00F150A1" w:rsidRDefault="00F150A1" w:rsidP="00F150A1">
      <w:r>
        <w:t xml:space="preserve">Он считает, что требования регулятора о закупке российского оборудования для владельцев критической информационной инфраструктуры (сети связи и информационные системы госорганов, финансовых, энергетических, транспортных и ряда других компаний) сохранятся даже в случае возвращения зарубежных игроков. Но присутствие иностранных игроков на потребительском рынке Калинин поддерживает: "В момент активной фазы импортозамещения разработчики сфокусированы на национальных приоритетах. Частный пользователь чуть менее требователен к условиям хранения его данных, и ограничивать его выбор нецелесообразно. Eсли к потребительскому рынку применять те же требования, что и к государственному или </w:t>
      </w:r>
      <w:r>
        <w:lastRenderedPageBreak/>
        <w:t>корпоративному сектору, очевидно, частный пользователь недополучит важные для него сервисы. Конечно, если российские компании будут выпускать конкурентные продукты, это будет супер, они смогут конкурировать на равных, как это сейчас происходит в сегменте enterprise (корпоративных заказчиков. - РБК)".</w:t>
      </w:r>
    </w:p>
    <w:p w14:paraId="0F38CE85" w14:textId="77777777" w:rsidR="00F150A1" w:rsidRDefault="00F150A1" w:rsidP="00F150A1">
      <w:r>
        <w:t>О технологическом суверенитете</w:t>
      </w:r>
    </w:p>
    <w:p w14:paraId="11577A31" w14:textId="77777777" w:rsidR="00F150A1" w:rsidRDefault="00F150A1" w:rsidP="00F150A1">
      <w:r>
        <w:t>"Раньше у нас, как заказчиков, был доступ к roadmap ("дорожной карте" продукции. - РБК) Intel, документации на новый процессор за полгода до его выпуска. Мы могли выпускать свой продукт почти одновременно с ними. Сейчас мы адаптировались, научились добывать это другими путями. Ввоз компонентов - это то еще упражнение, особенно в части оплаты. Но все равно считаю, что в 2022 году нам дали в хорошем смысле такой пинок, что мы хорошо полетели. До 2022 года в течение 30 лет рынок на 80% был по большому счету перепродажей чужих решений. У нас было мало разработчиков, все они жили очень скромненько и бедненько. [То, что произошло в 2022 году] дало значительное ускорение, с одной стороны, а с другой - очень отрезвило всех апологетов, кто громко кричал, зачем это делать в стране, лучше купить решения Oracle, Microsoft, Cisco и дальше по списку. Стало очевидно, и не только нам, а всему миру, что нет, что технологический суверенитет - это важная составляющая", - говорит Калинин.</w:t>
      </w:r>
    </w:p>
    <w:p w14:paraId="63F77447" w14:textId="77777777" w:rsidR="00F150A1" w:rsidRDefault="00F150A1" w:rsidP="00F150A1">
      <w:r>
        <w:t>Сейчас доля российской микроэлектроники в продукции "Аквариуса", по словам главы компании, незначительная. Он отметил, что в России много хороших дизайн-хаусов, есть такой центр и у "Аквариуса", но современной фабрики по их производству пока нет: "Это очень сложная и комплексная задача, но для такой страны, как наша, с точки зрения технологического суверенитета это первоочередная задача. Ровно поэтому думаю, что санкции на высокотехнологичный импорт будут снимать в последнюю очередь".</w:t>
      </w:r>
    </w:p>
    <w:p w14:paraId="2734B6C3" w14:textId="77777777" w:rsidR="00F150A1" w:rsidRDefault="00F150A1" w:rsidP="00F150A1">
      <w:r>
        <w:t>Сам "Аквариус" как бизнес почти на 100% перешел на российское IT-оборудование и частично на отечественный софт. На производстве продолжают использовать импортное оборудование, хотя какие-то элементы были замещены, например софт, система управления производством.</w:t>
      </w:r>
    </w:p>
    <w:p w14:paraId="2C54310E" w14:textId="77777777" w:rsidR="00F150A1" w:rsidRDefault="00F150A1" w:rsidP="00F150A1">
      <w:r>
        <w:t>Полная версия интервью - на rbc.ru</w:t>
      </w:r>
    </w:p>
    <w:p w14:paraId="34EAB43D" w14:textId="77777777" w:rsidR="00F150A1" w:rsidRDefault="00F150A1" w:rsidP="00F150A1">
      <w:r>
        <w:t>***</w:t>
      </w:r>
    </w:p>
    <w:p w14:paraId="2B114CF2" w14:textId="77777777" w:rsidR="00F150A1" w:rsidRDefault="00F150A1" w:rsidP="00F150A1">
      <w:r>
        <w:t>Что такое "Аквариус"</w:t>
      </w:r>
    </w:p>
    <w:p w14:paraId="51C1B003" w14:textId="77777777" w:rsidR="00F150A1" w:rsidRDefault="00F150A1" w:rsidP="00F150A1">
      <w:r>
        <w:t>"Аквариус" - российский производитель высокотехнологичного IT-оборудования, был основан в 1989 году как совместное советско-тайваньское предприятие. Сейчас осуществляет полный цикл производства электроники, включая разработку, производство печатных плат, монтаж компонентов и сборку готовых изделий. Выпускает более 2,5 млн персональных компьютеров, ноутбуков, планшетов, серверов, систем хранения данных, мониторов и телеком-оборудования в год . Также предоставляет IT-решения для бизнеса и госкомпаний, занимается обеспечением кибербезопасности и подготовкой защищенного оборудования. До 2024 года компания занимала около 20% рынка оборудования, включенного в реестр российской радиоэлектронной продукции Минпромторга. Акционеры головного юрлица АО "Группа компаний Аквариус": "Ай Кью Холдинг" (87,93%) и "Сбербанк Инвестиции" (12,07%). Консолидированные финансовые показатели группы не раскрываются.</w:t>
      </w:r>
    </w:p>
    <w:p w14:paraId="0E8A439A" w14:textId="77777777" w:rsidR="00F150A1" w:rsidRDefault="00F150A1" w:rsidP="00F150A1">
      <w:r>
        <w:t>Александр Ситюков, Анна Балашова</w:t>
      </w:r>
    </w:p>
    <w:p w14:paraId="69501C9F" w14:textId="77777777" w:rsidR="00135C2C" w:rsidRDefault="00135C2C" w:rsidP="00135C2C">
      <w:pPr>
        <w:pStyle w:val="2"/>
      </w:pPr>
      <w:bookmarkStart w:id="139" w:name="_Toc201901980"/>
      <w:r>
        <w:lastRenderedPageBreak/>
        <w:t>РИА Новости</w:t>
      </w:r>
      <w:r w:rsidRPr="00135C2C">
        <w:t xml:space="preserve">, </w:t>
      </w:r>
      <w:r>
        <w:t>26.06.2025</w:t>
      </w:r>
      <w:r w:rsidRPr="00135C2C">
        <w:t xml:space="preserve">, </w:t>
      </w:r>
      <w:r>
        <w:t>Россия стремится снизить зависимость от западных финансовых институтов - Путин</w:t>
      </w:r>
      <w:bookmarkEnd w:id="139"/>
    </w:p>
    <w:p w14:paraId="4166EA03" w14:textId="77777777" w:rsidR="00135C2C" w:rsidRDefault="00135C2C" w:rsidP="00135C2C">
      <w:pPr>
        <w:pStyle w:val="3"/>
      </w:pPr>
      <w:bookmarkStart w:id="140" w:name="_Toc201901981"/>
      <w:r>
        <w:t>Президент РФ Владимир Путин заявил, что Россия стремится снизить зависимость от западных финансовых институтов.</w:t>
      </w:r>
      <w:bookmarkEnd w:id="140"/>
    </w:p>
    <w:p w14:paraId="242C3E4C" w14:textId="3CB9D04E" w:rsidR="00135C2C" w:rsidRDefault="00135C2C" w:rsidP="00135C2C">
      <w:r>
        <w:t xml:space="preserve">Путин ранее в четверг прилетел в Минск с двухдневным </w:t>
      </w:r>
      <w:r w:rsidR="00776CBF">
        <w:t>визитом.</w:t>
      </w:r>
      <w:r>
        <w:t xml:space="preserve"> Президент РФ в эти дни принимает участие в мероприятиях саммита Евразийского экономического союза (ЕАЭС).</w:t>
      </w:r>
    </w:p>
    <w:p w14:paraId="505EAED8" w14:textId="77777777" w:rsidR="00135C2C" w:rsidRDefault="00135C2C" w:rsidP="00135C2C">
      <w:r>
        <w:t>"Мы всячески стремимся снизить зависимость от западных финансовых институтов, минимизировать использование иностранных платежных инструментов и сервисов", - сказал Путин в ходе пленарного заседания Евразийского экономического форума.</w:t>
      </w:r>
    </w:p>
    <w:p w14:paraId="5B666803" w14:textId="77777777" w:rsidR="00135C2C" w:rsidRDefault="00135C2C" w:rsidP="00135C2C">
      <w:r>
        <w:t>Минск в 2025 году председательствует в ЕАЭС (входят Россия, Белоруссия, Казахстан, Армения и Киргизия). Евразийский экономический форум, приуроченный к заседанию Высшего Евразийского экономического совета, проходит в Минске с 26 по 27 июня. РИА Новости выступает информационным партнером форума.</w:t>
      </w:r>
    </w:p>
    <w:p w14:paraId="02B1293D" w14:textId="77777777" w:rsidR="00932783" w:rsidRDefault="00932783" w:rsidP="00932783">
      <w:pPr>
        <w:pStyle w:val="2"/>
      </w:pPr>
      <w:bookmarkStart w:id="141" w:name="_Toc201901982"/>
      <w:r>
        <w:t>РИА Новости</w:t>
      </w:r>
      <w:r w:rsidRPr="00932783">
        <w:t xml:space="preserve">, </w:t>
      </w:r>
      <w:r>
        <w:t>26.06.2025</w:t>
      </w:r>
      <w:r w:rsidRPr="00932783">
        <w:t xml:space="preserve">, </w:t>
      </w:r>
      <w:r>
        <w:t>Путин: движение в сторону региональных фининститутов ускорится, если активы РФ конфискуют</w:t>
      </w:r>
      <w:bookmarkEnd w:id="141"/>
    </w:p>
    <w:p w14:paraId="6187BD15" w14:textId="77777777" w:rsidR="00932783" w:rsidRDefault="00932783" w:rsidP="00932783">
      <w:pPr>
        <w:pStyle w:val="3"/>
      </w:pPr>
      <w:bookmarkStart w:id="142" w:name="_Toc201901983"/>
      <w:r>
        <w:t>Движение в сторону региональных финансовых институтов в мире только ускорится, если замороженные российские активы будут конфискованы, заявил президент РФ Владимир Путин.</w:t>
      </w:r>
      <w:bookmarkEnd w:id="142"/>
    </w:p>
    <w:p w14:paraId="2F6DCA1D" w14:textId="21F138EA" w:rsidR="00932783" w:rsidRDefault="00932783" w:rsidP="00932783">
      <w:r>
        <w:t xml:space="preserve">"Кстати говоря, как все мы хорошо знаем, это не секрет, значительный объем наших золотовалютных резервов российских заморожены в западных </w:t>
      </w:r>
      <w:r w:rsidR="00776CBF">
        <w:t>банках.</w:t>
      </w:r>
      <w:r>
        <w:t xml:space="preserve"> И там постоянно говорят о том, что собираются наши деньги украсть, как только это произойдет, движение в сторону регионализации платежных систем, безусловно, ускорится и приобретет без всяких сомнений необратимый характер, а это в целом полезно для мировой экономики", - сказал Путин на пленарном заседании Евразийского экономического форума.</w:t>
      </w:r>
    </w:p>
    <w:p w14:paraId="21EF9234" w14:textId="77777777" w:rsidR="00932783" w:rsidRDefault="00932783" w:rsidP="00932783">
      <w:r>
        <w:t>Минск в 2025 году председательствует в ЕАЭС (входят Россия, Белоруссия, Казахстан, Армения и Киргизия). Евразийский экономический форум, приуроченный к заседанию Высшего Евразийского экономического совета, проходит в Минске с 26 по 27 июня. РИА Новости выступает информационным партнером форума.</w:t>
      </w:r>
    </w:p>
    <w:p w14:paraId="7EC89C4B" w14:textId="77777777" w:rsidR="00DD5C5C" w:rsidRPr="0019113B" w:rsidRDefault="00DD5C5C" w:rsidP="00DD5C5C">
      <w:pPr>
        <w:pStyle w:val="2"/>
      </w:pPr>
      <w:bookmarkStart w:id="143" w:name="_Toc201901984"/>
      <w:r w:rsidRPr="0019113B">
        <w:t>РИА Новости, 26.06.2025, Инфляция в России на 23 июня составила 9,48% в годовом выражении - Минэкономразвития</w:t>
      </w:r>
      <w:bookmarkEnd w:id="143"/>
    </w:p>
    <w:p w14:paraId="7120ED6B" w14:textId="77777777" w:rsidR="00DD5C5C" w:rsidRPr="0019113B" w:rsidRDefault="00DD5C5C" w:rsidP="0097376F">
      <w:pPr>
        <w:pStyle w:val="3"/>
      </w:pPr>
      <w:bookmarkStart w:id="144" w:name="_Toc201901985"/>
      <w:r w:rsidRPr="0019113B">
        <w:t>Инфляция в России на 23 июня замедлилась до 9,48% в годовом выражении с 9,59% неделей ранее, следует из обзора Минэкономразвития "О текущей ценовой ситуации".</w:t>
      </w:r>
      <w:bookmarkEnd w:id="144"/>
    </w:p>
    <w:p w14:paraId="17410B99" w14:textId="77777777" w:rsidR="00DD5C5C" w:rsidRPr="0019113B" w:rsidRDefault="00DD5C5C" w:rsidP="00DD5C5C">
      <w:r w:rsidRPr="0019113B">
        <w:t>Как следует из документа, рост цен на продовольственные товары был умеренным и составил 0,06%. При этом снижение цен на плодоовощную продукцию составило 0,3%, на остальные продукты - цены выросли за неделю на 0,09%.</w:t>
      </w:r>
    </w:p>
    <w:p w14:paraId="3566AB73" w14:textId="77777777" w:rsidR="008C1CA6" w:rsidRDefault="00DD5C5C" w:rsidP="00DD5C5C">
      <w:r w:rsidRPr="0019113B">
        <w:lastRenderedPageBreak/>
        <w:t>В сегменте непродовольственных товаров за неделю с 17 по 23 июня цены снизились на 0,02% после снижения на 0,05% неделей ранее, в секторе наблюдаемых услуг (туристических, регулируемых и бытовых) - они выросли на 0,04%.</w:t>
      </w:r>
    </w:p>
    <w:p w14:paraId="3ECC1D77" w14:textId="77777777" w:rsidR="00FB0E16" w:rsidRDefault="00FB0E16" w:rsidP="007C49EF">
      <w:pPr>
        <w:pStyle w:val="2"/>
      </w:pPr>
      <w:bookmarkStart w:id="145" w:name="_Toc201901986"/>
      <w:r>
        <w:t>РИА Новости</w:t>
      </w:r>
      <w:r w:rsidRPr="00FB0E16">
        <w:t xml:space="preserve">, </w:t>
      </w:r>
      <w:r>
        <w:t>26.06.2025</w:t>
      </w:r>
      <w:r w:rsidR="007C49EF" w:rsidRPr="007C49EF">
        <w:t xml:space="preserve">, </w:t>
      </w:r>
      <w:r>
        <w:t>Рецессии в России нет, есть плановое охлаждение экономики - Силуанов</w:t>
      </w:r>
      <w:bookmarkEnd w:id="145"/>
    </w:p>
    <w:p w14:paraId="37932B08" w14:textId="77777777" w:rsidR="00FB0E16" w:rsidRDefault="00FB0E16" w:rsidP="00FB0E16">
      <w:pPr>
        <w:pStyle w:val="3"/>
      </w:pPr>
      <w:bookmarkStart w:id="146" w:name="_Toc201901987"/>
      <w:r>
        <w:t>Рецессии в России нет, сейчас есть плановое охлаждение экономики, а меры, принятые в рамках бюджета и денежно-кредитной политики ЦБ, дали свой результат - инфляция сократилась, сообщил министр финансов РФ Антон Силуанов в программе "Эффект Санчеса" на телеканале RT international.</w:t>
      </w:r>
      <w:bookmarkEnd w:id="146"/>
    </w:p>
    <w:p w14:paraId="23E6B2B7" w14:textId="77777777" w:rsidR="00FB0E16" w:rsidRDefault="00FB0E16" w:rsidP="00FB0E16">
      <w:r>
        <w:t>"У нас нет рецессии, смею вас заверить . У нас есть плановое охлаждение экономики. Поскольку, подогревая определенные отрасли, мы видели ускорение инфляции. И вместе с Центральным банком приняли меры по плановому охлаждению экономики", - ответил Силуанов на вопрос, действительно ли Россия столкнется с периодом рецессии и как на ней это отразится.</w:t>
      </w:r>
    </w:p>
    <w:p w14:paraId="6462E408" w14:textId="77777777" w:rsidR="00FB0E16" w:rsidRDefault="00FB0E16" w:rsidP="00FB0E16">
      <w:r>
        <w:t>"В прошлом году, мы говорили, темпы роста были выше 4%. Сейчас, за первый квартал, темпы роста 1,5%, за апрель - 1,9%. То есть никакой рецессии нет, и мы видим, что меры, принятые в рамках бюджета и денежно-кредитной политики ЦБ, дали свой результат, инфляция сократилась: если брать в годовом выражении за последний месяц, это уже около 4-5%. То есть это та цель, при достижении которой можно будет уже смягчать ДКП", - отметил Силуанов.</w:t>
      </w:r>
    </w:p>
    <w:p w14:paraId="40D2E0AC" w14:textId="77777777" w:rsidR="00FB0E16" w:rsidRDefault="00FB0E16" w:rsidP="00FB0E16">
      <w:r>
        <w:t>Министр добавил, это значит, что кредит будет доступнее, опять появится аппетит у бизнеса к новым инвестициям, и Россия будет постепенно выходить из более низких темпов экономического развития "к нашей цели". "Наша цель - это расти на уровне не ниже мировых темпов роста", - подчеркнул министр.</w:t>
      </w:r>
    </w:p>
    <w:p w14:paraId="7501F12F" w14:textId="77777777" w:rsidR="008F6AE9" w:rsidRDefault="008F6AE9" w:rsidP="008F6AE9">
      <w:pPr>
        <w:pStyle w:val="2"/>
      </w:pPr>
      <w:bookmarkStart w:id="147" w:name="_Toc201901988"/>
      <w:r>
        <w:t>РИА Новости</w:t>
      </w:r>
      <w:r w:rsidRPr="008F6AE9">
        <w:t xml:space="preserve">, </w:t>
      </w:r>
      <w:r>
        <w:t>26.06.2025</w:t>
      </w:r>
      <w:r w:rsidRPr="008F6AE9">
        <w:t xml:space="preserve">, </w:t>
      </w:r>
      <w:r>
        <w:t>ЦБ РФ обсудит с рынком возможность рефинансирования средств на покупку ЦФА в рамках лимита</w:t>
      </w:r>
      <w:bookmarkEnd w:id="147"/>
    </w:p>
    <w:p w14:paraId="668E9BF2" w14:textId="77777777" w:rsidR="008F6AE9" w:rsidRDefault="008F6AE9" w:rsidP="008F6AE9">
      <w:pPr>
        <w:pStyle w:val="3"/>
      </w:pPr>
      <w:bookmarkStart w:id="148" w:name="_Toc201901989"/>
      <w:r>
        <w:t>Банк России готов обсудить с участниками рынка возможность рефинансирования неквалифицированными инвесторами средств на покупку цифровых финансовых активов (ЦФА) в рамках годового лимита, рассказала заместитель директора департамента инфраструктуры финансового рынка ЦБ РФ Кристина Алешина.</w:t>
      </w:r>
      <w:bookmarkEnd w:id="148"/>
    </w:p>
    <w:p w14:paraId="08018722" w14:textId="77777777" w:rsidR="008F6AE9" w:rsidRDefault="008F6AE9" w:rsidP="008F6AE9">
      <w:r>
        <w:t>ЦБ РФ в начале июня опубликовал проект указания, в котором предложил увеличить лимит на приобретение ЦФА российскими физическими лицами с 600 тысяч до 1 миллиона рублей в год . Переиздание соответствующего указания планируется в третьем квартале 2025 года.</w:t>
      </w:r>
    </w:p>
    <w:p w14:paraId="3DA9CC43" w14:textId="77777777" w:rsidR="008F6AE9" w:rsidRDefault="008F6AE9" w:rsidP="008F6AE9">
      <w:r>
        <w:t>"Многие просят о том, чтобы лимит распространялся не на весь год, а на сделку. Условно, купил, и если хорошо профинансировал, тебе вернули обратно номинал и проценты, то в течение года, если еще есть возможность, снова купить. Это обсуждаемый вопрос", - сказала она, выступая на конференции "ЦФА: Дивный новый мир".</w:t>
      </w:r>
    </w:p>
    <w:p w14:paraId="360E06EC" w14:textId="77777777" w:rsidR="008F6AE9" w:rsidRDefault="008F6AE9" w:rsidP="008F6AE9">
      <w:r>
        <w:lastRenderedPageBreak/>
        <w:t>Проект указания определяет признаки ЦФА, приобретение которых может осуществляться российскими инвесторами только при наличии у них статуса квалифицированных инвесторов, приобретение которых может осуществляться российскими инвесторами только в пределах определенной ЦБ РФ суммы, передаваемой в оплату ЦФА в течение одного года (лимит), а также приобретение которых может осуществляться российскими инвесторами без ограничений.</w:t>
      </w:r>
    </w:p>
    <w:p w14:paraId="532C6ABE" w14:textId="77777777" w:rsidR="008F6AE9" w:rsidRDefault="008F6AE9" w:rsidP="008F6AE9">
      <w:r>
        <w:t>"Здесь мы сделали посыл на то, что те ЦФА, которые будут с защитой капитала, возможно, структурированные на прозрачные индексы, понятные термины или инструменты, то они будут доступны неквалифицированным инвесторам", - сказала Алешина.</w:t>
      </w:r>
    </w:p>
    <w:p w14:paraId="6A07E126" w14:textId="77777777" w:rsidR="008F6AE9" w:rsidRDefault="008F6AE9" w:rsidP="008F6AE9">
      <w:r>
        <w:t>Цифровые финансовые активы - это класс финансовых инструментов, выпуск, учет и обращение которых осуществляется путем внесения записей в информационную систему на основе распределенного реестра.</w:t>
      </w:r>
    </w:p>
    <w:p w14:paraId="4B555EBF" w14:textId="77777777" w:rsidR="00D74627" w:rsidRDefault="00D74627" w:rsidP="00D74627">
      <w:pPr>
        <w:pStyle w:val="2"/>
      </w:pPr>
      <w:bookmarkStart w:id="149" w:name="_Toc201901990"/>
      <w:r>
        <w:t>РИА Новости</w:t>
      </w:r>
      <w:r w:rsidRPr="00135C2C">
        <w:t xml:space="preserve">, </w:t>
      </w:r>
      <w:r>
        <w:t>26.06.2025</w:t>
      </w:r>
      <w:r w:rsidRPr="00135C2C">
        <w:t xml:space="preserve">, </w:t>
      </w:r>
      <w:r>
        <w:t>Недавний рост цен на нефть не влияет на планы по бюджету РФ - Силуанов</w:t>
      </w:r>
      <w:bookmarkEnd w:id="149"/>
    </w:p>
    <w:p w14:paraId="2520AD77" w14:textId="77777777" w:rsidR="00D74627" w:rsidRDefault="00D74627" w:rsidP="00D74627">
      <w:pPr>
        <w:pStyle w:val="3"/>
      </w:pPr>
      <w:bookmarkStart w:id="150" w:name="_Toc201901991"/>
      <w:r>
        <w:t>Цены на нефть на фоне конфликта на Ближнем Востоке подросли, но неизвестно, сколько это продолжится; Россия планирует бюджет, ориентируясь на собственные консервативные прогнозы, а не на конъюнктурные изменения рынка и не исходит из того, что получит какие-то допдоходы, сообщил министр финансов РФ Антон Силуанов.</w:t>
      </w:r>
      <w:bookmarkEnd w:id="150"/>
    </w:p>
    <w:p w14:paraId="71AB6D2B" w14:textId="77777777" w:rsidR="00D74627" w:rsidRDefault="00D74627" w:rsidP="00D74627">
      <w:r>
        <w:t>"Да, мы видим, что цены подросли, но насколько это продолжится, мы не знаем . Никто не знает. Поэтому все свои бюджетные планы строим исходя из наших достаточно консервативных прогнозов", - сказал Силуанов в программе "Эффект Санчеса" на телеканале RT International.</w:t>
      </w:r>
    </w:p>
    <w:p w14:paraId="5887FAA3" w14:textId="77777777" w:rsidR="00D74627" w:rsidRDefault="00D74627" w:rsidP="00D74627">
      <w:r>
        <w:t>"Мы не планируем (наш бюджет - ред.) исходя из каких-то конъюнктурных изменений. Мы за то, чтобы цены на энергоресурсы были предсказуемы, стабильны. Это важно не только для России, но и для всех стран. Все-таки предпринимателям, бизнесу, государствам важно иметь примерный горизонт понимания, что будет с ценами на энергоресурсы и нефтепродукты, с доходами компаний, бюджета. Поэтому если говорить о сиюминутной конъюнктуре, то мы не исходим из того, что бюджет будет получать какие-то дополнительные доходы. Мы планируем свои бюджетные траты, балансы достаточно прагматично, консервативно и не закладываемся на сегодняшнее повышение цен на нефть", - отметил он.</w:t>
      </w:r>
    </w:p>
    <w:p w14:paraId="73A72E55" w14:textId="77777777" w:rsidR="00D74627" w:rsidRDefault="00D74627" w:rsidP="00D74627">
      <w:r>
        <w:t>Силуанов при этом подчеркнул, что, если появятся дополнительные доходы, то они будут направляться в Фонд национального благосостояния (ФНБ), но, как дальше будет развиваться ситуация на Ближнем Востоке, неизвестно.</w:t>
      </w:r>
    </w:p>
    <w:p w14:paraId="6FA95B07" w14:textId="77777777" w:rsidR="00D74627" w:rsidRDefault="00D74627" w:rsidP="00D74627">
      <w:r>
        <w:t xml:space="preserve">"Если рост цен произойдет, то у Российской Федерации будет больше нефтегазовых доходов, но мы их будем не тратить, а направлять в наш резерв - Фонд национального благосостояния. Вы знаете, что у нас сверхдоходы идут не на расходные статьи, а в наши запасы. Еще раз повторюсь, что да, возможно развитие такой ситуации, о чем вы говорили, когда цена барреля нефти уйдет за 100 долларов, но мы не знаем, как дальше будет развиваться ситуация. Поэтому не хотим говорить, что Россия будет извлекать какие-то дополнительные доходы из той напряженности, которая сложилась в этом </w:t>
      </w:r>
      <w:r>
        <w:lastRenderedPageBreak/>
        <w:t>регионе. С точки зрения бюджета... наши траты от этого не изменятся. Если появятся дополнительные доходы, они будут надежно защищены в ФНБ", - сказал министр.</w:t>
      </w:r>
    </w:p>
    <w:p w14:paraId="4F1607F7" w14:textId="77777777" w:rsidR="008C1CA6" w:rsidRDefault="008C1CA6" w:rsidP="00EE252C">
      <w:pPr>
        <w:pStyle w:val="2"/>
      </w:pPr>
      <w:bookmarkStart w:id="151" w:name="_Toc201901992"/>
      <w:r>
        <w:t>РИА Финмаркет, 26.06.2025</w:t>
      </w:r>
      <w:r w:rsidR="00EE252C" w:rsidRPr="00EE252C">
        <w:t xml:space="preserve">, </w:t>
      </w:r>
      <w:r w:rsidR="00EE252C">
        <w:t>Цены рублевых корпбондов в четверг не продемонстрируют яркой динамики на фоне противоречивых факторов</w:t>
      </w:r>
      <w:bookmarkEnd w:id="151"/>
    </w:p>
    <w:p w14:paraId="1B3C6247" w14:textId="77777777" w:rsidR="008C1CA6" w:rsidRDefault="008C1CA6" w:rsidP="00EE252C">
      <w:pPr>
        <w:pStyle w:val="3"/>
      </w:pPr>
      <w:bookmarkStart w:id="152" w:name="_Toc201901993"/>
      <w:r>
        <w:t>Котировки рублевых корпоблигаций в четверг, скорее всего, не продемонстрируют ярко выраженной динамики из-за влияния противоречивых внешних и внутренних факторов, в том числе неопределенности относительно дальнейшего снижения ключевой ставки ЦБ, с одной стороны, и спада напряженности на Ближнем Востоке, с другой стороны, полагают эксперты "Интерфакс-ЦЭА".</w:t>
      </w:r>
      <w:bookmarkEnd w:id="152"/>
    </w:p>
    <w:p w14:paraId="76930592" w14:textId="77777777" w:rsidR="008C1CA6" w:rsidRDefault="008C1CA6" w:rsidP="008C1CA6">
      <w:r>
        <w:t>Конфликт на Украине не получилось урегулировать быстро, так как он - сложный, заявил в среду президент США Дональд Трамп. "Это оказалось более сложным, чем считалось", - сказал он на пресс-конференции в Гааге, отвечая на вопрос журналиста о том, почему у него не получилось, как он обещал в ходе предвыборной кампании, решить украинский кризис за сутки. "Трудности есть с президентом Путиным", - отметил Трамп. Также он подчеркнул, что "были проблемы с Зеленским". "Нужно, чтобы Путин согласился завершить это", - добавил президент США.</w:t>
      </w:r>
    </w:p>
    <w:p w14:paraId="0149B2B2" w14:textId="77777777" w:rsidR="008C1CA6" w:rsidRDefault="008C1CA6" w:rsidP="008C1CA6">
      <w:r>
        <w:t>Трамп на закрытом заседании саммита НАТО в Гааге призвал страны альянса предпринять действия для украинского урегулирования, так как считает ситуацию в зоне конфликта сложной, сообщило в среду агентство Bloomberg со ссылкой на источник. "По словам неназванного источника, на закрытом заседании саммита НАТО президент США сказал, что необходимо что-то предпринять для урегулирования конфликта на Украине, где ситуация полностью вышла из-под контроля", - говорится в сообщении.</w:t>
      </w:r>
    </w:p>
    <w:p w14:paraId="03590580" w14:textId="77777777" w:rsidR="008C1CA6" w:rsidRDefault="008C1CA6" w:rsidP="008C1CA6">
      <w:r>
        <w:t>В свою очередь спецпосланник президента США Стив Уиткофф надеется, что перемирие между Ираном и Израилем будет способствовать мирному урегулированию ситуации между Украиной и Россией. "Я думаю, (...) что это может относиться и к России с Украиной", - сказал Уиткофф в интервью телеканалу CNBC. По его словам, он надеется, что "люди посмотрят на то, что произошло в Иране, и скажут: "Знаете что, мы тоже хотим быть частью такого мирного процесса".</w:t>
      </w:r>
    </w:p>
    <w:p w14:paraId="0934A0C6" w14:textId="77777777" w:rsidR="008C1CA6" w:rsidRDefault="008C1CA6" w:rsidP="008C1CA6">
      <w:r>
        <w:t>В ночь на вторник 24 июня (по московскому времени) президент США Трамп сообщил о вступлении в силу режима прекращения огня между Израилем и Ираном. Позже обе страны подтвердили перемирие.</w:t>
      </w:r>
    </w:p>
    <w:p w14:paraId="43087D6A" w14:textId="77777777" w:rsidR="008C1CA6" w:rsidRDefault="008C1CA6" w:rsidP="008C1CA6">
      <w:r>
        <w:t>Американские фондовые индексы завершили разнонаправленными изменениями торги в среду, трейдеры оценивали ситуацию в геополитике, макроэкономические и корпоративные новости. Поддержку рынку оказывало прекращение огня между Израилем и Ираном. Перемирие, судя по всему, держится, несмотря на отдельные столкновения. Кроме того, инвесторы изучали данные о продажах новостроек в США в мае и следили за выступлением председателя Федеральной резервной системы (ФРС) Джерома Пауэлла в банковском комитете Сената.</w:t>
      </w:r>
    </w:p>
    <w:p w14:paraId="37C02FE5" w14:textId="77777777" w:rsidR="008C1CA6" w:rsidRDefault="008C1CA6" w:rsidP="008C1CA6">
      <w:r>
        <w:t xml:space="preserve">Спрогнозировать влияние американских пошлин на инфляцию весьма сложно, заявил Пауэлл в ходе слушаний в банковском комитете. Тем не менее макроэкономические </w:t>
      </w:r>
      <w:r>
        <w:lastRenderedPageBreak/>
        <w:t>прогнозы регулятора отчасти отражают последствия американской внешнеторговой политики, добавил он. Руководитель Федрезерва также признал, что налогово-бюджетная политика может способствовать инфляции, отказавшись, однако, от дальнейших комментариев об их связи. Некоторые сенаторы в ходе слушаний подвергли критике бюджетный законопроект президента США Трампа. Вместе с тем Федререзрв не принимает во внимание дефицит бюджета США при принятии решений в отношении денежно-кредитной политики, отметил глава регулятора.</w:t>
      </w:r>
    </w:p>
    <w:p w14:paraId="62FA2ED1" w14:textId="77777777" w:rsidR="008C1CA6" w:rsidRDefault="008C1CA6" w:rsidP="008C1CA6">
      <w:r>
        <w:t>Продажи новых домов в США в мае уменьшились на 13,7% по сравнению с предыдущим месяцем и составили 623 тыс. в пересчете на годовые темпы, сообщило в среду министерство торговли. В апреле было реализовано 722 тыс. домов, а не 743 тыс., как сообщалось ранее. Аналитики в среднем ожидали сокращения продаж в апреле до 690 тыс. с ранее объявленного апрельского уровня.</w:t>
      </w:r>
    </w:p>
    <w:p w14:paraId="32E304D5" w14:textId="77777777" w:rsidR="008C1CA6" w:rsidRDefault="008C1CA6" w:rsidP="008C1CA6">
      <w:r>
        <w:t>Фондовые индексы Азиатско-Тихоокеанского региона меняются разнонаправленно в четверг. Инвесторы продолжают следить за ситуацией на Ближнем Востоке после того, как Иран и Израиль договорились о прекращении огня. Президент США анонсировал на следующей неделе переговоры с Ираном и отметил, что заключение соглашения по атому не является единственным желаемым итогом встречи. Китайский индекс Shanghai Composite к 8:15 мск увеличился на 0,03%, в то время как гонконгский Hang Seng потерял 0,6%. Значение японского индекса Nikkei 225 к 8:21 МСК повысилось на 1,5%. Южнокорейский Kospi к 8:19 МСК опустился на 1,04%. Австралийский SP/ASX 200 снизился на 0,11%.</w:t>
      </w:r>
    </w:p>
    <w:p w14:paraId="4A3D315A" w14:textId="77777777" w:rsidR="008C1CA6" w:rsidRDefault="008C1CA6" w:rsidP="008C1CA6">
      <w:r>
        <w:t>Цены на нефть продолжают расти утром в четверг, инвесторы оценивают геополитическую ситуацию вокруг конфликта на Ближнем Востоке и официальные данные о запасах нефти в США. Стоимость августовских фьючерсов на сорт Brent на лондонской бирже ICE Futures по данным на 9:20 мск составила $68,14 за баррель, что на 0,68% выше, чем на закрытие предыдущих торгов. В среду эти контракты выросли в цене на 0,8%, до $67,68 за баррель. Фьючерсы на нефть WTI на август на электронных торгах Нью-Йоркской товарной биржи (NYMEX) подорожали к этому времени также на 0,68%, до $65,36 за баррель. По итогам предыдущей сессии стоимость этих контрактов увеличилась на 0,85% - до $64,92 за баррель.</w:t>
      </w:r>
    </w:p>
    <w:p w14:paraId="289B1899" w14:textId="77777777" w:rsidR="008C1CA6" w:rsidRDefault="008C1CA6" w:rsidP="008C1CA6">
      <w:r>
        <w:t>Коммерческие запасы нефти в Соединенных Штатах на прошлой неделе уменьшились на 5,836 млн баррелей. Эксперты в среднем прогнозировали сокращение на 750 тыс. баррелей. Товарные запасы бензина на неделе, завершившейся 20 июня, снизились на 2,075 млн баррелей, дистиллятов - на 4,066 млн баррелей. Запасы на терминале в Кушинге, где хранится торгуемая на NYMEX нефть, сократились на 464 тыс. баррелей после снижения на 995 тыс. баррелей неделей ранее.</w:t>
      </w:r>
    </w:p>
    <w:p w14:paraId="610B6352" w14:textId="77777777" w:rsidR="008C1CA6" w:rsidRDefault="008C1CA6" w:rsidP="008C1CA6">
      <w:r>
        <w:t>Торговая активность на рынке рублевых корпоративных облигаций в среду снизилась всего в 1,1 раза относительно предыдущего торгового дня и осталась выше средних значений - суммарный объем торгов бондами на Московской бирже составил 18,602 млрд рублей, из которых на основные торги пришлось 13,1 млрд рублей. При этом котировки корпоративных облигаций продемонстрировали смешанную динамику.</w:t>
      </w:r>
    </w:p>
    <w:p w14:paraId="0CEE3468" w14:textId="77777777" w:rsidR="008C1CA6" w:rsidRDefault="008C1CA6" w:rsidP="008C1CA6">
      <w:r>
        <w:t xml:space="preserve">Ценовой индекс IFX-Cbonds-P по итогам торгов 25 июня вырос всего на 0,04% и составил 114,29 пункта, а индекс полной доходности IFX-Cbonds за день прибавил 0,07%, поднявшись до 1096,18 пункта. Среди бумаг, входящих в индекс IFX-Cbonds-P, в лидерах повышения оказались облигации "РЖД-001P-03R" (+0,6%), "РЖД-001P-01R" </w:t>
      </w:r>
      <w:r>
        <w:lastRenderedPageBreak/>
        <w:t>(+0,59%) и "ГТЛК-001Р-14" (+0,48%), а в лидерах снижения - облигации "Новотранс-001Р-03" (-0,9%), "РЖД-001P-06R" (-0,57%) и "Мэйл.Ру Финанс-001Р-01" (-0,51%).</w:t>
      </w:r>
    </w:p>
    <w:p w14:paraId="295D37AC" w14:textId="77777777" w:rsidR="008C1CA6" w:rsidRDefault="008C1CA6" w:rsidP="008C1CA6">
      <w:r>
        <w:t>Из корпоративных событий аналитики отмечают, что ПАО "МТС" (MOEX: MTSS) увеличило объем размещения 5-летних облигаций серии 002Р-12 с офертой через год с 10 млрд рублей до 15 млрд рублей. Сбор заявок на выпуск прошел 24 июня. Ставка купонов была установлена в размере 18% годовых, ей соответствует доходность к оферте на уровне 19,56% годовых. По выпуску будут выплачиваться фиксированные ежемесячные купоны. Техразмещение запланировано на 27 июня. Выпуск удовлетворяет требованиям по инвестированию средств пенсионных накоплений, пенсионных и страховых резервов.</w:t>
      </w:r>
    </w:p>
    <w:p w14:paraId="782D9CAB" w14:textId="77777777" w:rsidR="008C1CA6" w:rsidRDefault="008C1CA6" w:rsidP="008C1CA6">
      <w:r>
        <w:t>ПАО "Группа Позитив" (MOEX: POSI) (головная компания группы Positive Technologies, занимающейся разработкой решений в области информационной безопасности) увеличило объем размещения облигаций серии 001P-03 со сроком обращения 2,8 года с 5 млрд рублей до 10 млрд рублей. Финальный ориентир ставки 1-го купона - 18% годовых, ему соответствует доходность к погашению в размере 19,56% годовых. По выпуску будут выплачиваться фиксированные ежемесячные купоны. Сбор заявок на выпуск прошел 25 июня. Техразмещение запланировано на 27 июня. Выпуск будет доступен для приобретения неквалифицированным инвесторам.</w:t>
      </w:r>
    </w:p>
    <w:p w14:paraId="08E04E80" w14:textId="77777777" w:rsidR="008C1CA6" w:rsidRDefault="008C1CA6" w:rsidP="008C1CA6">
      <w:r>
        <w:t>ООО "Воксис" установило финальный ориентир ставки 1-го купона 4-летних облигаций серии 001Р-03 объемом 500 млн рублей на уровне 24% годовых. Ориентиру соответствует доходность к первому call-опциону в размере 26,82% годовых. По выпуску будут выплачиваться фиксированные ежемесячные купоны. Предусмотрены также call-опционы (возможность досрочного погашения по усмотрению эмитента) через 1,5 года (540 дней) и 2,5 года (900 дней) с начала обращения и амортизация: в даты окончания 37-47-го купонного периода будет погашено по 8,3% от номинала, 8,7% в 48-й купонный период. Сбор заявок на выпуск прошел 25 июня. Техразмещение запланировано на 27 июня. Выпуск доступен для приобретения неквалифицированным инвесторам.</w:t>
      </w:r>
    </w:p>
    <w:p w14:paraId="20303A13" w14:textId="77777777" w:rsidR="008C1CA6" w:rsidRDefault="008C1CA6" w:rsidP="008C1CA6">
      <w:r>
        <w:t>ООО "ДиректЛизинг" 1 июля начнет размещение выпуска 5-летних облигаций серии 002Р-04 объемом 100 млн рублей. Ставка 1-го купона установлена на уровне 27,5% годовых. Ставки 2-60-го ежемесячных купонов плавающие, определяются по формуле: ключевая ставка Банка России, действующая по состоянию на 5-й рабочий день, предшествующий дате начале соответствующего купона, плюс 7,5% годовых. По выпуску предусмотрены амортизационная структура погашения: по 1,67% от номинала будет погашено в даты выплат 1-59-го купонов, а также call-опционы в даты окончания 10-го, 20-го, 30-го, 40-го и 50-го купонных периодов.</w:t>
      </w:r>
    </w:p>
    <w:p w14:paraId="7530BFDE" w14:textId="77777777" w:rsidR="008C1CA6" w:rsidRDefault="008C1CA6" w:rsidP="008C1CA6">
      <w:r>
        <w:t>АО "Медскан" (входит в контур управления "Росатома") увеличило объем планируемого выпуска облигаций со сроком обращения 2,2 года серии 001Р-01 с "не менее 2 млрд рублей" до "не более 3 млрд рублей", а также снизило ориентир ставки 1-го купона с "не выше 22% годовых" до "не выше 20% годовых". Ориентиру соответствует доходность к погашению в размере не выше 21,94% годовых. По выпуску будут выплачиваться фиксированные ежемесячные купоны. Сбор заявок на выпуск запланирован на 1 июля, он пройдет с 11:00 до 15:00 мск. Техразмещение запланировано на 4 июля. Выпуск будет доступен для приобретения неквалифицированным инвесторам при условии прохождения теста N6. Выпуск размещается в рамках программы облигаций "Медскана" на 100 млрд рублей, зарегистрированной Мосбиржей в начале июня.</w:t>
      </w:r>
    </w:p>
    <w:p w14:paraId="6A3DA719" w14:textId="77777777" w:rsidR="008C1CA6" w:rsidRDefault="008C1CA6" w:rsidP="008C1CA6">
      <w:r>
        <w:lastRenderedPageBreak/>
        <w:t>ПАО "Абрау-Дюрсо" (MOEX: ABRD) не позднее 31 июля планирует провести сбор заявок на выпуск облигаций серии 002P-01 со сроком обращения 1,5 года (540 дней) объемом 500 млн рублей. По выпуску будут выплачиваться фиксированные ежемесячные купоны. Ориентир ставки 1-го купона - не выше 22% годовых, что соответствует доходности к погашению в размере не выше 24,36% годовых. Техразмещение пройдет не позднее 5 августа. Выпуск будет доступен для приобретения неквалифицированным инвесторам, он также удовлетворяет требованиям по инвестированию средств пенсионных накоплений и страховых резервов.</w:t>
      </w:r>
    </w:p>
    <w:p w14:paraId="5A40693C" w14:textId="77777777" w:rsidR="008C1CA6" w:rsidRDefault="008C1CA6" w:rsidP="008C1CA6">
      <w:r>
        <w:t>ОАО "Российские железные дороги" (РЖД) установило ставку 24-го купона облигаций серии 001P-26R на уровне 21,67% годовых. Компания разместила выпуск 5-летних бондов объемом 30 млрд рублей в июле 2023 года. Ставка 1-го купона была установлена на уровне 8,6% годовых. Ежемесячные купоны по выпуску переменные и рассчитываются по формуле: среднее значение RUONIA плюс спред 130 базисных пунктов.</w:t>
      </w:r>
    </w:p>
    <w:p w14:paraId="74120600" w14:textId="77777777" w:rsidR="008C1CA6" w:rsidRDefault="008C1CA6" w:rsidP="008C1CA6">
      <w:r>
        <w:t>НГК "Славнефть" выкупила по оферте 3 млн 344,978 тыс. облигаций серии 002Р-04 по цене 100% от номинала. Объем выпуска составляет 10 млн облигаций номиналом 1 тыс. рублей каждая. Таким образом, компания приобрела 33,45% займа. Десятилетний выпуск на 10 млрд рублей был размещен в июне 2022 года по ставке квартального купона 10,15% годовых до исполненной оферты. Перед офертой эмитент установил ставки последующих (13-22-го) купонов на уровне 18% годовых.</w:t>
      </w:r>
    </w:p>
    <w:p w14:paraId="727D1AB8" w14:textId="77777777" w:rsidR="008C1CA6" w:rsidRDefault="008C1CA6" w:rsidP="008C1CA6">
      <w:r>
        <w:t>ПАО "ФосАгро" (MOEX: PHOR) установило объем приобретения облигаций серии БО-02-01 по оферте в количестве 29 млн 325,431 тыс. штук (почти 49% выпуска), цена приобретения - 101,5% от номинала. Общая сумма затрат на выкуп составит 29,765 млрд рублей плюс накопленный купонный доход. Дата исполнения оферты - 27 июня. Период предъявления бумаг к оферте проходил с 10:00 мск 18 июня до 15:00 мск 24 июня. Количество приобретаемых эмитентом облигаций составляло до 60 млн штук включительно. Пятилетний флоатер объемом 60 млрд рублей был размещен в ноябре 2024 года. По выпуску выплачиваются ежемесячные переменные купоны. Ставка 1-24-го купонов рассчитывается как сумма доходов за каждый день купонного периода, исходя из ключевой ставки Банка России, плюс премия 2% годовых (ставка 1-6-го купонов составила 23% годовых). Порядок расчета ставок действует до плановой оферты в ноябре 2026 года.</w:t>
      </w:r>
    </w:p>
    <w:p w14:paraId="4476F443" w14:textId="77777777" w:rsidR="008C1CA6" w:rsidRDefault="008C1CA6" w:rsidP="008C1CA6">
      <w:r>
        <w:t>ГМК "Норильский никель" (MOEX: GMKN) 10 июля проведет общее собрание владельцев облигаций (ОСВО) серии БО-001Р-09 объемом 292,5 млрд рублей. ОСВО рассмотрит вопрос о согласии на внесение изменений в решение о выпуске ценных бумаг серии БО-001Р-09, связанных с объемом прав по облигациям и (или) порядком их осуществления. Компания разместила 3-летний выпуск в апреле 2025 года. Выплачиваются переменные квартальные купоны, которые рассчитываются как сумма значения ключевой ставки ЦБ РФ, действующей на 5-й день до начала купонного периода, и спреда. Спред к ключевой ставке зафиксирован заранее и составляет 1,7% годовых. Предусмотрена возможность досрочного погашения облигаций по усмотрению эмитента.</w:t>
      </w:r>
    </w:p>
    <w:p w14:paraId="22858C14" w14:textId="77777777" w:rsidR="008C1CA6" w:rsidRPr="008C1CA6" w:rsidRDefault="008C1CA6" w:rsidP="008C1CA6">
      <w:hyperlink r:id="rId44" w:history="1">
        <w:r w:rsidRPr="00BD0F8C">
          <w:rPr>
            <w:rStyle w:val="a3"/>
          </w:rPr>
          <w:t>http://www.finmarket.ru/analytics/6424756</w:t>
        </w:r>
      </w:hyperlink>
      <w:r w:rsidRPr="008C1CA6">
        <w:t xml:space="preserve"> </w:t>
      </w:r>
    </w:p>
    <w:p w14:paraId="785B97A8" w14:textId="77777777" w:rsidR="008C1CA6" w:rsidRDefault="008C1CA6" w:rsidP="00EE252C">
      <w:pPr>
        <w:pStyle w:val="2"/>
      </w:pPr>
      <w:bookmarkStart w:id="153" w:name="_Toc201901994"/>
      <w:r>
        <w:lastRenderedPageBreak/>
        <w:t>РИА Финмаркет, 26.06.2025</w:t>
      </w:r>
      <w:r w:rsidRPr="008C1CA6">
        <w:t xml:space="preserve">, </w:t>
      </w:r>
      <w:r>
        <w:t>ЦБ РФ: средства юрлиц в банках в мае выросли на 0,4%, населения - на 0,2%</w:t>
      </w:r>
      <w:bookmarkEnd w:id="153"/>
    </w:p>
    <w:p w14:paraId="6CD5F14E" w14:textId="77777777" w:rsidR="008C1CA6" w:rsidRDefault="008C1CA6" w:rsidP="00EE252C">
      <w:pPr>
        <w:pStyle w:val="3"/>
      </w:pPr>
      <w:bookmarkStart w:id="154" w:name="_Toc201901995"/>
      <w:r>
        <w:t>Средства компаний в российских банках в мае выросли на умеренные 0,4% (253 млрд руб.) после сокращения в апреле на 0,7% на фоне крупных налоговых выплат, говорится в обзоре ЦБ РФ о развитии банковского сектора.</w:t>
      </w:r>
      <w:bookmarkEnd w:id="154"/>
    </w:p>
    <w:p w14:paraId="66971F1E" w14:textId="77777777" w:rsidR="008C1CA6" w:rsidRDefault="008C1CA6" w:rsidP="008C1CA6">
      <w:r>
        <w:t>Прирост депозитов произошел у компаний из широкого круга отраслей, отмечает регулятор. Увеличились как рублевые средства (+181 млрд руб., +0,4%), так и валютные (+72 млрд руб., +0,9%). Объем средств юрлиц на 1 июня 2025 года достиг 57,3 трлн руб.</w:t>
      </w:r>
    </w:p>
    <w:p w14:paraId="4E919D63" w14:textId="77777777" w:rsidR="008C1CA6" w:rsidRDefault="008C1CA6" w:rsidP="008C1CA6">
      <w:r>
        <w:t>Средства населения в мае выросли на незначительные 0,2% (+0,1 трлн руб.) после существенного увеличения в апреле (+2,8%, +1,6 трлн руб.). Низкий прирост в мае может быть связан с тратами во время праздников, результат апреля был несколько завышен из-за авансирования майских социальных выплат, считает ЦБ. Объем средств физлиц на 1 июня достиг 59,4 трлн руб.</w:t>
      </w:r>
    </w:p>
    <w:p w14:paraId="434FB07D" w14:textId="77777777" w:rsidR="008C1CA6" w:rsidRDefault="008C1CA6" w:rsidP="008C1CA6">
      <w:r>
        <w:t>Остатки на рублевых текущих счетах физлиц в мае сократились (-0,1 трлн руб., -0,8%), тогда как средства на срочных вкладах в рублях продолжили расти (+0,2 трлн руб., +0,5%).</w:t>
      </w:r>
    </w:p>
    <w:p w14:paraId="633276DC" w14:textId="77777777" w:rsidR="008C1CA6" w:rsidRDefault="008C1CA6" w:rsidP="008C1CA6">
      <w:r>
        <w:t>Средства населения в рублях в мае выросли на скромные 0,2% (0,1 трлн руб.), в иностранной валюте тоже незначительно (+14 млрд руб., +0,4%).</w:t>
      </w:r>
    </w:p>
    <w:p w14:paraId="2206D2C1" w14:textId="77777777" w:rsidR="008C1CA6" w:rsidRDefault="008C1CA6" w:rsidP="008C1CA6">
      <w:r>
        <w:t>Прирост средств на счетах эскроу в мае ускорился - 3,3% (+209 млрд руб.) после роста на 1,0% в апреле. Это может быть связано с замедлением ввода объектов в эксплуатацию и, как следствие, снижением объема раскрытия счетов эскроу (по предварительным данным, в мае 142 млрд руб. после 313 млрд руб. в апреле).</w:t>
      </w:r>
    </w:p>
    <w:p w14:paraId="7AD0011D" w14:textId="77777777" w:rsidR="008C1CA6" w:rsidRDefault="008C1CA6" w:rsidP="008C1CA6">
      <w:r>
        <w:t>Госсредства в банках в мае уменьшились на 0,4 трлн руб. (-3,4%) - до 11,3 трлн рублей из-за доведения бюджетных средств до получателей. Средства Федерального казначейства сократились на 0,4 трлн руб., региональных бюджетов - практически не изменились (-14 млрд руб.).</w:t>
      </w:r>
    </w:p>
    <w:p w14:paraId="18C7AEEC" w14:textId="77777777" w:rsidR="008C1CA6" w:rsidRDefault="008C1CA6" w:rsidP="008C1CA6">
      <w:r>
        <w:t>На фоне сокращения госсредств несколько вырос спрос банков на привлечения от ЦБ - на 18,7% (261 млрд руб.) - до 1,7 трлн руб., главным образом за счет кредитов под залог нерыночных активов.</w:t>
      </w:r>
    </w:p>
    <w:p w14:paraId="3F8E511A" w14:textId="77777777" w:rsidR="008C1CA6" w:rsidRDefault="008C1CA6" w:rsidP="008C1CA6">
      <w:r>
        <w:t>Мнение посетителей сайта, оставляющих свои комментарии на новости и статьи, может не совпадать с мнением редакции ИА «Финмаркет», и за содержание комментариев ИА «Финмаркет» ответственности не несет. При этом агентство оставляет за собой право модерировать и удалять любые комментарии посетителей сайта.</w:t>
      </w:r>
    </w:p>
    <w:p w14:paraId="51CA2338" w14:textId="77777777" w:rsidR="00DD5C5C" w:rsidRPr="0019113B" w:rsidRDefault="008C1CA6" w:rsidP="008C1CA6">
      <w:hyperlink r:id="rId45" w:history="1">
        <w:r w:rsidRPr="00BD0F8C">
          <w:rPr>
            <w:rStyle w:val="a3"/>
          </w:rPr>
          <w:t>http://www.finmarket.ru/currency/news/6424732</w:t>
        </w:r>
      </w:hyperlink>
      <w:r w:rsidRPr="008C1CA6">
        <w:t xml:space="preserve"> </w:t>
      </w:r>
      <w:r w:rsidR="00DD5C5C" w:rsidRPr="0019113B">
        <w:t xml:space="preserve"> </w:t>
      </w:r>
    </w:p>
    <w:p w14:paraId="52B5EDD7" w14:textId="77777777" w:rsidR="00A32032" w:rsidRPr="0019113B" w:rsidRDefault="00A32032" w:rsidP="00A32032">
      <w:pPr>
        <w:pStyle w:val="2"/>
      </w:pPr>
      <w:bookmarkStart w:id="155" w:name="_Toc99271711"/>
      <w:bookmarkStart w:id="156" w:name="_Toc99318657"/>
      <w:bookmarkStart w:id="157" w:name="_Toc201901996"/>
      <w:r w:rsidRPr="0019113B">
        <w:lastRenderedPageBreak/>
        <w:t>Банки.ру, 26.06.2025, Инфляция уверенно тормозит: как это повлияет на решение ЦБ по ключевой ставке</w:t>
      </w:r>
      <w:bookmarkEnd w:id="157"/>
    </w:p>
    <w:p w14:paraId="28722A6C" w14:textId="77777777" w:rsidR="00A32032" w:rsidRPr="0019113B" w:rsidRDefault="00A32032" w:rsidP="0097376F">
      <w:pPr>
        <w:pStyle w:val="3"/>
      </w:pPr>
      <w:bookmarkStart w:id="158" w:name="_Toc201901997"/>
      <w:r w:rsidRPr="0019113B">
        <w:t>Инфляция в России на прошлой неделе составила 0,04%. С начала месяца цены выросли на 0,12%, с начала года - на 3,68%. Годовая инфляция по состоянию на 23 июня замедлилась до 9,41%.</w:t>
      </w:r>
      <w:bookmarkEnd w:id="158"/>
    </w:p>
    <w:p w14:paraId="3ED2387E" w14:textId="77777777" w:rsidR="00A32032" w:rsidRPr="0019113B" w:rsidRDefault="00A32032" w:rsidP="00A32032">
      <w:r w:rsidRPr="0019113B">
        <w:t>Инфляция в России на прошлой неделе составила 0,04%. С начала месяца цены выросли на 0,12%, с начала года - на 3,68%. Годовая инфляция по состоянию на 23 июня замедлилась до 9,41%. Такие данные привел Росстат.</w:t>
      </w:r>
    </w:p>
    <w:p w14:paraId="21CE09A6" w14:textId="77777777" w:rsidR="00A32032" w:rsidRPr="0019113B" w:rsidRDefault="00A32032" w:rsidP="00A32032">
      <w:r w:rsidRPr="0019113B">
        <w:t>Низкие темпы роста цен, установившиеся с начала мая, уже позволили регулятору снизить ключевую ставку в июне с рекордного 21% до 20%. Тенденция на стабилизацию темпов роста цен скорее всего приведет к очередному снижению ставки 25 июля, полагает аналитик Freedom Finance Global Владимир Чернов.</w:t>
      </w:r>
    </w:p>
    <w:p w14:paraId="7854F0E7" w14:textId="77777777" w:rsidR="00A32032" w:rsidRPr="0019113B" w:rsidRDefault="00A32032" w:rsidP="00A32032">
      <w:r w:rsidRPr="0019113B">
        <w:t>Еще одним аргументом в пользу снижения «ключа» может стать снижение инфляционных ожиданий населения, указывает аналитик. В мае россияне прогнозировали годовую инфляцию на уровне 13,4%, в июне - уже 13%. Данные за июль опубликуют до следующего заседания Банка России, и если инфляционные ожидания населения продолжат снижаться, скорее всего регулятор снизит ключевую ставку как минимум на 100 базисных пунктов, ожидает Чернов.</w:t>
      </w:r>
    </w:p>
    <w:p w14:paraId="6DAAD8AF" w14:textId="77777777" w:rsidR="00A32032" w:rsidRPr="0019113B" w:rsidRDefault="00A32032" w:rsidP="00A32032">
      <w:r w:rsidRPr="0019113B">
        <w:t>«При этом, если годовая инфляция продолжит замедляться быстрее ожиданий ЦБ, то мы не исключаем снижения ставки сразу на 200-300 б.п., до 17-18%», - сказал он.</w:t>
      </w:r>
    </w:p>
    <w:p w14:paraId="4E479AB3" w14:textId="77777777" w:rsidR="00A32032" w:rsidRPr="0019113B" w:rsidRDefault="00A32032" w:rsidP="00A32032">
      <w:r w:rsidRPr="0019113B">
        <w:t>Пока ключевая ставка остается высокой, есть возможность успеть воспользоваться «временем вкладчика».</w:t>
      </w:r>
    </w:p>
    <w:p w14:paraId="2C0698E0" w14:textId="77777777" w:rsidR="009922A9" w:rsidRPr="0019113B" w:rsidRDefault="00A32032" w:rsidP="00A32032">
      <w:hyperlink r:id="rId46" w:history="1">
        <w:r w:rsidRPr="0019113B">
          <w:rPr>
            <w:rStyle w:val="a3"/>
          </w:rPr>
          <w:t>https://www.banki.ru/news/lenta/?category=lenta&amp;id=11015356</w:t>
        </w:r>
      </w:hyperlink>
    </w:p>
    <w:p w14:paraId="142386AB" w14:textId="77777777" w:rsidR="00DD5C5C" w:rsidRPr="0019113B" w:rsidRDefault="00DD5C5C" w:rsidP="00DD5C5C">
      <w:pPr>
        <w:pStyle w:val="2"/>
      </w:pPr>
      <w:bookmarkStart w:id="159" w:name="_Toc201901998"/>
      <w:r w:rsidRPr="0019113B">
        <w:t>Страхование сегодня, 26.06.2025, От накоплений к инвестициям</w:t>
      </w:r>
      <w:bookmarkEnd w:id="159"/>
    </w:p>
    <w:p w14:paraId="31F217ED" w14:textId="77777777" w:rsidR="00DD5C5C" w:rsidRPr="0019113B" w:rsidRDefault="00DD5C5C" w:rsidP="0097376F">
      <w:pPr>
        <w:pStyle w:val="3"/>
      </w:pPr>
      <w:bookmarkStart w:id="160" w:name="_Toc201901999"/>
      <w:r w:rsidRPr="0019113B">
        <w:t>Рынок страхования жизни в первом квартале 2025 года показал уверенный рост, хотя и не столь масштабный, как во второй половине года прошлого. Стремительный рост показали выплаты. Фокус внимания страхователей при этом сместился с накопительного на инвестиционное страхование жизни, и выросла популярность долгосрочных продуктов. Наибольший прирост премий наблюдался в инвестиционном сегменте по договорам со сроком более десяти лет.</w:t>
      </w:r>
      <w:bookmarkEnd w:id="160"/>
    </w:p>
    <w:p w14:paraId="2F8CB5B7" w14:textId="77777777" w:rsidR="00DD5C5C" w:rsidRPr="0019113B" w:rsidRDefault="00DD5C5C" w:rsidP="00DD5C5C">
      <w:r w:rsidRPr="0019113B">
        <w:t>Рост с охлаждением</w:t>
      </w:r>
    </w:p>
    <w:p w14:paraId="4424066C" w14:textId="77777777" w:rsidR="00DD5C5C" w:rsidRPr="0019113B" w:rsidRDefault="00DD5C5C" w:rsidP="00DD5C5C">
      <w:r w:rsidRPr="0019113B">
        <w:t>Объем собранных премий на российском рынке страхования жизни по итогам первого квартала 2025 года составил, по данным Банка России, 448,8 млрд руб. - это на 124% больше, чем в первом квартале 2024-го. При этом совокупные сборы в сегменте некредитного страхования жизни (ИСЖ и НСЖ) составили 436 млрд руб., что почти в два с половиной раза выше показателей первого квартала 2024 года.</w:t>
      </w:r>
    </w:p>
    <w:p w14:paraId="35172804" w14:textId="77777777" w:rsidR="00DD5C5C" w:rsidRPr="0019113B" w:rsidRDefault="00DD5C5C" w:rsidP="00DD5C5C">
      <w:r w:rsidRPr="0019113B">
        <w:t xml:space="preserve">Таким образом, страхование жизни внесло основной вклад в рост страхового рынка в целом: по иным видам (non-life) совокупный прирост премий в годовом выражении составил лишь 5%. Сегменты life и non-life работают на разных стратегиях </w:t>
      </w:r>
      <w:r w:rsidRPr="0019113B">
        <w:lastRenderedPageBreak/>
        <w:t>потребительского поведения, объясняет такую динамику гендиректор "Ренессанс жизни" Олег Киселев. Если драйвер страхования жизни - стремление людей накапливать благосостояние, то non-life - потребительское поведение. "На цикле высокой ключевой ставки Центробанка люди несут деньги на депозиты, покупают разные накопительные продукты, чтобы заработать больше. Поэтому в цикле высокой ставки life всегда будет расти больше, чем non-life",- говорит страховщик.</w:t>
      </w:r>
    </w:p>
    <w:p w14:paraId="5466DF91" w14:textId="77777777" w:rsidR="00DD5C5C" w:rsidRPr="0019113B" w:rsidRDefault="00DD5C5C" w:rsidP="00DD5C5C">
      <w:r w:rsidRPr="0019113B">
        <w:t>По итогам 2024 года вклад страховщиков жизни (показатель общих сборов) в экономику России (ВВП) впервые превысил 1%, отмечает гендиректор компании "Капитал Лайф Страхование Жизни" Евгений Гуревич, что говорит о "качественном росте отрасли и повышении ее значимости на финансовом рынке". При этом растет доля клиентов, которые с помощью НСЖ копят на пенсию, заботу о здоровье, недвижимость и образование, высоким спросом пользуются детские накопительные программы, используя которые граждане планируют обеспечить своему ребенку достойное образование, собственное жилье, защиту в непредвиденных ситуациях.</w:t>
      </w:r>
    </w:p>
    <w:p w14:paraId="099BADC6" w14:textId="77777777" w:rsidR="00DD5C5C" w:rsidRPr="0019113B" w:rsidRDefault="00DD5C5C" w:rsidP="00DD5C5C">
      <w:r w:rsidRPr="0019113B">
        <w:t>"Итоги первого квартала этого года впечатляют,- считает гендиректор компании "Росгосстрах Жизнь" Валерий Смирнов.- За исключением третьего и четвертого кварталов прошлого года, это лучший квартал для рынка".</w:t>
      </w:r>
    </w:p>
    <w:p w14:paraId="34662E37" w14:textId="77777777" w:rsidR="00DD5C5C" w:rsidRPr="0019113B" w:rsidRDefault="00DD5C5C" w:rsidP="00DD5C5C">
      <w:r w:rsidRPr="0019113B">
        <w:t>Действительно, результат первого квартала нынешнего года существенно уступает рекордным объемам премий, собранных во втором полугодии прошлого: в третьем квартале 2024-го он составил 651 млрд руб., в четвертом - 858 млрд руб. Заместитель гендиректора компании "РСХБ-Страхование жизни" Артем Гончар считает, что данное замедление во многом обусловлено отменой с января 2025 года налоговой льготы по НДФЛ по договорам страхования жизни.</w:t>
      </w:r>
    </w:p>
    <w:p w14:paraId="4F07D10A" w14:textId="77777777" w:rsidR="00DD5C5C" w:rsidRPr="0019113B" w:rsidRDefault="00DD5C5C" w:rsidP="00DD5C5C">
      <w:r w:rsidRPr="0019113B">
        <w:t>Динамика резервов</w:t>
      </w:r>
    </w:p>
    <w:p w14:paraId="79EB5D66" w14:textId="77777777" w:rsidR="00DD5C5C" w:rsidRPr="0019113B" w:rsidRDefault="00DD5C5C" w:rsidP="00DD5C5C">
      <w:r w:rsidRPr="0019113B">
        <w:t>Стремительный рост в первые месяцы этого года показали и объемы выплат. По итогам первого квартала 2025-го по договорам НСЖ они увеличились более чем в шесть раз относительно аналогичного периода 2024-го, по ИСЖ - более чем в полтора раза. "Значительный объем был выплачен по договорам НСЖ со сроком до года, которые массово заключались в 2024 году",- отмечают в ЦБ.</w:t>
      </w:r>
    </w:p>
    <w:p w14:paraId="556AFA0E" w14:textId="77777777" w:rsidR="00DD5C5C" w:rsidRPr="0019113B" w:rsidRDefault="00DD5C5C" w:rsidP="00DD5C5C">
      <w:r w:rsidRPr="0019113B">
        <w:t>Страховые резервы страховщиков жизни, по данным Всероссийского союза страховщиков (ВСС), по состоянию на конец первого квартала 2024 года составили 2,2 трлн руб., продемонстрировав рост на 37% (годом ранее они составляли 1,578 трлн руб.). По мнению Артема Гончара, именно динамика резервов более точно, чем динамика премий, отражает ситуацию на рынке. Ранее аналитики отмечали, что рекордные показатели 2024-го были обеспечены прежде всего за счет повторного учета одних и тех же денежных средств в сборах премии при их реинвестировании, поясняет он. "Регуляторные резервы - важнейший показатель, их рост свидетельствует об устойчивости страховщиков и обеспеченности выплат, которые выросли в 3,5 раза",- отмечает Евгений Гуревич.</w:t>
      </w:r>
    </w:p>
    <w:p w14:paraId="0407C96D" w14:textId="77777777" w:rsidR="00DD5C5C" w:rsidRPr="0019113B" w:rsidRDefault="00DD5C5C" w:rsidP="00DD5C5C">
      <w:r w:rsidRPr="0019113B">
        <w:t>Смена акцентов</w:t>
      </w:r>
    </w:p>
    <w:p w14:paraId="39C70203" w14:textId="77777777" w:rsidR="00DD5C5C" w:rsidRPr="0019113B" w:rsidRDefault="00DD5C5C" w:rsidP="00DD5C5C">
      <w:r w:rsidRPr="0019113B">
        <w:t xml:space="preserve">Один из основных трендов начала этого года - рост популярности ИСЖ на фоне охлаждения интереса к НСЖ. Объем взносов по НСЖ в первом квартале 2025 года составил 229,5 млрд руб., что на 85% больше, чем годом ранее, но втрое ниже, чем в четвертом квартале 2024-го. Сборы в сегменте ИСЖ за январь-март этого года выросли </w:t>
      </w:r>
      <w:r w:rsidRPr="0019113B">
        <w:lastRenderedPageBreak/>
        <w:t>до 206,6 млрд руб., это почти в четыре раза выше, чем за аналогичный период 2024-го, и на 10% выше, чем за предыдущий квартал. Таким образом, впервые за последние годы объем сборов по ИСЖ оказался близок к объему сборов по НСЖ, до этого накопительное страхование жизни сильно опережало инвестиционное (так, например, по итогам прошлого года объем сборов по НСЖ оказался, по данным ЦБ, в 2,37 раза выше, чем по ИСЖ).</w:t>
      </w:r>
    </w:p>
    <w:p w14:paraId="22A4F566" w14:textId="77777777" w:rsidR="00DD5C5C" w:rsidRPr="0019113B" w:rsidRDefault="00DD5C5C" w:rsidP="00DD5C5C">
      <w:r w:rsidRPr="0019113B">
        <w:t>По мнению Артема Гончара, сегмент ИСЖ показал высокий прирост за счет повышения интереса потребителей к инвестированию средств с полной защитой капитала в условиях снижения ставок по вкладам. "Доля ИСЖ в сборах премии страховщиков жизни, по данным ВСС, составила 46,1% против 26,6% за аналогичный период прошлого года. Мы ожидаем сохранения данного тренда в условиях дальнейшего снижения ставок по инструментам с гарантированным доходом",- говорит он.</w:t>
      </w:r>
    </w:p>
    <w:p w14:paraId="2D670866" w14:textId="77777777" w:rsidR="00DD5C5C" w:rsidRPr="0019113B" w:rsidRDefault="00DD5C5C" w:rsidP="00DD5C5C">
      <w:r w:rsidRPr="0019113B">
        <w:t>Валерий Смирнов считает, что смещение фокуса внимания страхователей от НСЖ к ИСЖ - "это не тренд, а особенности классификации". В условиях высоких ставок привлекательность классического ИСЖ снижается - это видно по результатам рынка, поясняет страховщик.</w:t>
      </w:r>
    </w:p>
    <w:p w14:paraId="64B9E953" w14:textId="77777777" w:rsidR="00DD5C5C" w:rsidRPr="0019113B" w:rsidRDefault="00DD5C5C" w:rsidP="00DD5C5C">
      <w:r w:rsidRPr="0019113B">
        <w:t>До года</w:t>
      </w:r>
    </w:p>
    <w:p w14:paraId="4B38FECD" w14:textId="77777777" w:rsidR="00DD5C5C" w:rsidRPr="0019113B" w:rsidRDefault="00DD5C5C" w:rsidP="00DD5C5C">
      <w:r w:rsidRPr="0019113B">
        <w:t>Как отмечают аналитики Банка России, рост сборов по некредитному страхованию жизни относительно прошлогодних показателей связан, в частности, с приближением этих решений к банковским депозитам. Так, в наиболее популярных страховых продуктах были предусмотрены нулевые комиссии за возможность частичного вывода средств по договору страхования, что давало высокие характеристики по их ликвидности и привлекательности для клиентов.</w:t>
      </w:r>
    </w:p>
    <w:p w14:paraId="6493DCA8" w14:textId="77777777" w:rsidR="00DD5C5C" w:rsidRPr="0019113B" w:rsidRDefault="00DD5C5C" w:rsidP="00DD5C5C">
      <w:r w:rsidRPr="0019113B">
        <w:t>С точки зрения предпочтений страхователей в сегменте НСЖ в первом квартале 2025 года сохранялась популярность консервативных программ с единовременными взносами, доходность которых не зависит от рыночной конъюнктуры, свидетельствует статистика ЦБ, наибольшим спросом пользовались полисы с более короткими относительно классических программ сроками (до года). Вместе с тем доля взносов по таким договорам сократилась относительно первого квартала 2024-го на 8 процентных пунктов (п. п.), до 40%, одновременно увеличилась доля взносов по программам со сроками от года до трех лет и от трех до пяти лет (на 8 п. п. и 3 п. п., до 32% и 21% соответственно).</w:t>
      </w:r>
    </w:p>
    <w:p w14:paraId="1784FF3C" w14:textId="77777777" w:rsidR="00DD5C5C" w:rsidRPr="0019113B" w:rsidRDefault="00DD5C5C" w:rsidP="00DD5C5C">
      <w:r w:rsidRPr="0019113B">
        <w:t>Вдолгую</w:t>
      </w:r>
    </w:p>
    <w:p w14:paraId="64407158" w14:textId="77777777" w:rsidR="00DD5C5C" w:rsidRPr="0019113B" w:rsidRDefault="00DD5C5C" w:rsidP="00DD5C5C">
      <w:r w:rsidRPr="0019113B">
        <w:t>В сегменте ИСЖ, по данным регулятора, наибольший прирост премий наблюдался по договорам со сроком более десяти лет. В результате доля премий по таким договорам, заключенным в первом квартале 2025 года, достигла максимальной (47%). Еще 35% премий по договорам, заключенным в этот период, пришлось на договоры со сроком от трех до пяти лет. Доля взносов по договорам со сроком до года, которые ранее доминировали в структуре сборов, снизилась до 14%. Более 88% взносов по ИСЖ в первом квартале 2025 года пришлось на договоры с минимальной (менее 5%) защитой капитала, отмечают в ЦБ.</w:t>
      </w:r>
    </w:p>
    <w:p w14:paraId="174920ED" w14:textId="77777777" w:rsidR="00DD5C5C" w:rsidRPr="0019113B" w:rsidRDefault="00DD5C5C" w:rsidP="00DD5C5C">
      <w:r w:rsidRPr="0019113B">
        <w:t xml:space="preserve">"Ожидаемо сократились объемы сборов по коротким договорам - и это основной тренд, как следствие, и новых параметров налогообложения",- говорит Валерий Смирнов. По его словам, рынок возвращается к традиционным срокам договоров (на три-пять лет), а </w:t>
      </w:r>
      <w:r w:rsidRPr="0019113B">
        <w:lastRenderedPageBreak/>
        <w:t>в остальном тенденции сохраняются - фокус на продуктах, доходность которых привязана к ставкам денежного рынка.</w:t>
      </w:r>
    </w:p>
    <w:p w14:paraId="6B80E369" w14:textId="77777777" w:rsidR="00DD5C5C" w:rsidRPr="0019113B" w:rsidRDefault="00DD5C5C" w:rsidP="00DD5C5C">
      <w:r w:rsidRPr="0019113B">
        <w:t>Артем Гончар обращает внимание на рост интереса страхователей к продуктам ИСЖ с ежегодной выплатой дохода, привязанного к уровню ключевой ставки Банка России, и с возможностью досрочного вывода средств без потерь после первого года страхования.</w:t>
      </w:r>
    </w:p>
    <w:p w14:paraId="4AA11FA4" w14:textId="77777777" w:rsidR="00DD5C5C" w:rsidRPr="0019113B" w:rsidRDefault="00DD5C5C" w:rsidP="00DD5C5C">
      <w:r w:rsidRPr="0019113B">
        <w:t>"Важно отметить, что граждане копят с нами на длительные сроки - три, пять, десять и более лет - и направляют эти денежные средства на решение самых важных задач,- обращает внимание Евгений Гуревич.- По данным ЦБ за 2024 год, 84% договоров страхования жизни на рынке заключены на срок более трех лет - это более 33 млн клиентов. В 2024 году по таким договорам было собрано более 1 трлн руб.".</w:t>
      </w:r>
    </w:p>
    <w:p w14:paraId="2247B105" w14:textId="77777777" w:rsidR="00DD5C5C" w:rsidRPr="0019113B" w:rsidRDefault="00DD5C5C" w:rsidP="00DD5C5C">
      <w:r w:rsidRPr="0019113B">
        <w:t>Вместе с тем в самом ЦБ к увеличению дюрации продуктов страхования жизни относятся с некоторой долей скепсиса. "Рост доли взносов по долгосрочным договорам не в полной мере говорит об увеличении долгосрочных сбережений страхователей, так как существенный объем таких договоров подразумевает возможности свободного вывода средств",- отмечается в материалах регулятора.</w:t>
      </w:r>
    </w:p>
    <w:p w14:paraId="335EC982" w14:textId="77777777" w:rsidR="00DD5C5C" w:rsidRPr="0019113B" w:rsidRDefault="00DD5C5C" w:rsidP="00DD5C5C">
      <w:r w:rsidRPr="0019113B">
        <w:t>Поводы для оптимизма</w:t>
      </w:r>
    </w:p>
    <w:p w14:paraId="56655F03" w14:textId="77777777" w:rsidR="00DD5C5C" w:rsidRPr="0019113B" w:rsidRDefault="00DD5C5C" w:rsidP="00DD5C5C">
      <w:r w:rsidRPr="0019113B">
        <w:t>Говоря о перспективах дальнейшего развития рынка страхования жизни в 2025 году, эксперты настроены умеренно оптимистично. Скорее всего, повторить результаты второго полугодия 2024-го у рынка не получится, поскольку должны существенно снизиться сборы по коротким договорам, часть которых попадала под льготу по НДФЛ, говорит Валерий Смирнов: "При этом такие договоры - сроком менее года - могли учитываться в сборах несколько раз при реинвестировании. В этом году результаты должны быть не такими внушительными по объему, но более здоровыми".</w:t>
      </w:r>
    </w:p>
    <w:p w14:paraId="09FAC751" w14:textId="77777777" w:rsidR="00DD5C5C" w:rsidRPr="0019113B" w:rsidRDefault="00DD5C5C" w:rsidP="00DD5C5C">
      <w:r w:rsidRPr="0019113B">
        <w:t>"В 2025 году мы ожидаем дальнейшего роста рынка, однако при снижении популярности краткосрочных продуктов НСЖ прирост будет более скромным, чем годом ранее",- соглашается Артем Гончар. Рынок страхования жизни, по его мнению, имеет высокий потенциал роста за счет низкой доли в общем объеме сбережений населения. Поэтому дальнейшая динамика будет определяться уровнем ключевой ставки ЦБ, процентных ставок по вкладам, а также особенностями налогообложения вышедшего с этого года на рынок нового продукта - долевого страхования жизни.</w:t>
      </w:r>
    </w:p>
    <w:p w14:paraId="74BD1E01" w14:textId="77777777" w:rsidR="00DD5C5C" w:rsidRPr="0019113B" w:rsidRDefault="00DD5C5C" w:rsidP="00DD5C5C">
      <w:r w:rsidRPr="0019113B">
        <w:t>"Уровень неопределенности большой, но в первом полугодии рост составит около 40%, во втором все зависит от ключевой ставки и макроэкономической ситуации. Скорее всего, за год рост составит 15-20%",- говорит Олег Киселев.</w:t>
      </w:r>
    </w:p>
    <w:p w14:paraId="1634F351" w14:textId="77777777" w:rsidR="00DD5C5C" w:rsidRPr="0019113B" w:rsidRDefault="00DD5C5C" w:rsidP="00DD5C5C">
      <w:r w:rsidRPr="0019113B">
        <w:t>При замедлении экономики Банк России может снижать ставку, и в ожидании этого инвесторы захотят зафиксировать текущий высокий уровень на длительный срок, говорит Валерий Смирнов. По его мнению, инвестиционно-накопительный вид страхования жизни - один из наиболее подходящих инструментов для этого.</w:t>
      </w:r>
    </w:p>
    <w:p w14:paraId="08673416" w14:textId="77777777" w:rsidR="00DD5C5C" w:rsidRPr="0019113B" w:rsidRDefault="00DD5C5C" w:rsidP="00DD5C5C">
      <w:hyperlink r:id="rId47" w:history="1">
        <w:r w:rsidRPr="0019113B">
          <w:rPr>
            <w:rStyle w:val="a3"/>
          </w:rPr>
          <w:t>https://www.insur-info.ru/press/202375/</w:t>
        </w:r>
      </w:hyperlink>
    </w:p>
    <w:p w14:paraId="7A45D24E" w14:textId="77777777" w:rsidR="000F4ADD" w:rsidRPr="0019113B" w:rsidRDefault="000F4ADD" w:rsidP="000F4ADD">
      <w:pPr>
        <w:pStyle w:val="2"/>
      </w:pPr>
      <w:bookmarkStart w:id="161" w:name="_Toc201902000"/>
      <w:r w:rsidRPr="0019113B">
        <w:lastRenderedPageBreak/>
        <w:t>Страхование сегодня, 26.06.2025, «Урегулирование - это ключевое предложение страховщиков»</w:t>
      </w:r>
      <w:bookmarkEnd w:id="161"/>
    </w:p>
    <w:p w14:paraId="63A201E1" w14:textId="77777777" w:rsidR="000F4ADD" w:rsidRPr="0019113B" w:rsidRDefault="000F4ADD" w:rsidP="0097376F">
      <w:pPr>
        <w:pStyle w:val="3"/>
      </w:pPr>
      <w:bookmarkStart w:id="162" w:name="_Toc201902001"/>
      <w:r w:rsidRPr="0019113B">
        <w:t>Говорим с участниками рынка страхования о значении и особенностях конкуренции на страховом рынке: с кем и как сейчас конкурируют игроки рынка, за счет чего выигрывается конкурентная гонка, каковы ее главные критерии.</w:t>
      </w:r>
      <w:bookmarkEnd w:id="162"/>
    </w:p>
    <w:p w14:paraId="592F0534" w14:textId="77777777" w:rsidR="000F4ADD" w:rsidRPr="0019113B" w:rsidRDefault="000F4ADD" w:rsidP="000F4ADD">
      <w:r w:rsidRPr="0019113B">
        <w:t>Николай Галушин, генеральный директор Национальной страховой информационной системы (НСИС):</w:t>
      </w:r>
    </w:p>
    <w:p w14:paraId="7BE78E61" w14:textId="77777777" w:rsidR="000F4ADD" w:rsidRPr="0019113B" w:rsidRDefault="000F4ADD" w:rsidP="000F4ADD">
      <w:r w:rsidRPr="0019113B">
        <w:t>- Конкуренция во многом строится за счет обладания качественными данными. НСИС фиксирует тот факт, что активность по использованию данных из АИС страхования напрямую коррелирует с качеством портфеля компаний и системы в целом. Мы предоставляем данные из АИС страхования на недискриминационной основе - никакому партнеру АО НСИС не могут быть созданы преференциальные условия по получению данных из информационной системы.</w:t>
      </w:r>
    </w:p>
    <w:p w14:paraId="7D4E0E0E" w14:textId="77777777" w:rsidR="000F4ADD" w:rsidRPr="0019113B" w:rsidRDefault="000F4ADD" w:rsidP="000F4ADD">
      <w:r w:rsidRPr="0019113B">
        <w:t>Уровень конкурентной борьбы на рынке не ослабевает, а для получения преимуществ требуется все больше технологий и данных»</w:t>
      </w:r>
    </w:p>
    <w:p w14:paraId="367E21CD" w14:textId="77777777" w:rsidR="000F4ADD" w:rsidRPr="0019113B" w:rsidRDefault="000F4ADD" w:rsidP="000F4ADD">
      <w:r w:rsidRPr="0019113B">
        <w:t>Наталья Карпова, президент-председатель правления РНПК:</w:t>
      </w:r>
    </w:p>
    <w:p w14:paraId="1FE392E9" w14:textId="77777777" w:rsidR="000F4ADD" w:rsidRPr="0019113B" w:rsidRDefault="000F4ADD" w:rsidP="000F4ADD">
      <w:r w:rsidRPr="0019113B">
        <w:t>- После ухода зарубежных перестраховщиков с российского рынка в 2022 году РНПК стала занимать доминирующую позицию в области перестрахования в России. Компания полностью взяла на себя перестрахование всех крупных рисков, поддерживая стабильность не только отечественного страхового рынка, но и экономики России в целом. Однако мы считаем, что конкуренция - это хорошо.</w:t>
      </w:r>
    </w:p>
    <w:p w14:paraId="7887BB86" w14:textId="77777777" w:rsidR="000F4ADD" w:rsidRPr="0019113B" w:rsidRDefault="000F4ADD" w:rsidP="000F4ADD">
      <w:r w:rsidRPr="0019113B">
        <w:t>Мы выступаем за создание альтернативных перестраховочных емкостей как на российском рынке, так и в любой из дружественных юрисдикций вне зависимости от формы организации, будь то компания или пул. К примеру, три крупнейших российских страховщика могли бы объединиться и предоставлять рынку емкость в размере минимум 3-5 млрд руб. Еще одним вариантом может быть создание общества взаимного страхования, где несколько компаний объединяются и перестраховывают друг друга.</w:t>
      </w:r>
    </w:p>
    <w:p w14:paraId="0A31FD71" w14:textId="77777777" w:rsidR="000F4ADD" w:rsidRPr="0019113B" w:rsidRDefault="000F4ADD" w:rsidP="000F4ADD">
      <w:r w:rsidRPr="0019113B">
        <w:t>Александр Крайник, генеральный директор финансового маркетплейса «Сравни»:</w:t>
      </w:r>
    </w:p>
    <w:p w14:paraId="3AD491F9" w14:textId="77777777" w:rsidR="000F4ADD" w:rsidRPr="0019113B" w:rsidRDefault="000F4ADD" w:rsidP="000F4ADD">
      <w:r w:rsidRPr="0019113B">
        <w:t>- В гонке за клиентом выигрывать будут те, кто умеет находить клиента с потребностью и создавать удобный клиентский путь.</w:t>
      </w:r>
    </w:p>
    <w:p w14:paraId="07F0C099" w14:textId="77777777" w:rsidR="000F4ADD" w:rsidRPr="0019113B" w:rsidRDefault="000F4ADD" w:rsidP="000F4ADD">
      <w:r w:rsidRPr="0019113B">
        <w:t>Если мы говорим про конкуренцию между разными каналами продаж, важно понимать значимость сервисной составляющей, которую сейчас предоставляют именно страховые компании. В целом урегулирование - это ключевое предложение страховщиков, и от его качества зависит успешность продаж и лояльность клиентов. Далеко не все клиенты выбирают страховой полис по цене. По нашим данным, 48% клиентов «Сравни» делают этот выбор не по цене, а по другим критериям: сервису, коммуникации и др.</w:t>
      </w:r>
    </w:p>
    <w:p w14:paraId="3A195778" w14:textId="77777777" w:rsidR="000F4ADD" w:rsidRPr="0019113B" w:rsidRDefault="000F4ADD" w:rsidP="000F4ADD">
      <w:r w:rsidRPr="0019113B">
        <w:t>Если рынок будет фокусироваться и продолжать развивать только технологии продаж и упустит момент развития сервисной составляющей для клиента - сопровождение, изменения, дополнительная ценность владения продуктом, то рано или поздно может появиться альтернатива. Например, бигтехи с развитыми экосистемами, которые будут в своем периметре закрывать в том числе страховые потребности клиентов.</w:t>
      </w:r>
    </w:p>
    <w:p w14:paraId="793D5EAC" w14:textId="77777777" w:rsidR="000F4ADD" w:rsidRPr="0019113B" w:rsidRDefault="000F4ADD" w:rsidP="000F4ADD">
      <w:r w:rsidRPr="0019113B">
        <w:lastRenderedPageBreak/>
        <w:t>Игорь Иванов, вице-президент «РЕСО-Гарантии»:</w:t>
      </w:r>
    </w:p>
    <w:p w14:paraId="4265E2A5" w14:textId="77777777" w:rsidR="000F4ADD" w:rsidRPr="0019113B" w:rsidRDefault="000F4ADD" w:rsidP="000F4ADD">
      <w:r w:rsidRPr="0019113B">
        <w:t>- Принято считать, что основной формой конкуренции на страховом рынке является борьба за клиента с помощью снижения цены страхового продукта. Однако этим весьма приятным для клиентов обстоятельством конкуренция не исчерпывается. Это особенно наглядно демонстрируют процессы в моторном страховании, ОСАГО и каско. В этих двух секторах ценовая конкуренция практически уперлась в дно, когда падать ниже в тарифах становится практически невозможно. И тут появляется и все ярче проявляет себя конкуренция иного рода - конкуренция на уровне сервиса.</w:t>
      </w:r>
    </w:p>
    <w:p w14:paraId="59B4BF03" w14:textId="77777777" w:rsidR="000F4ADD" w:rsidRPr="0019113B" w:rsidRDefault="000F4ADD" w:rsidP="000F4ADD">
      <w:r w:rsidRPr="0019113B">
        <w:t>Большинство клиентов в первую очередь смотрит на цену продукта, и мало кто задумывается, как именно работает его страховой полис, что именно будет после ДТП, как быстро автовладелец получит возмещение или отремонтированный автомобиль. Но тут страхователям приходят на помощь страховые агенты.</w:t>
      </w:r>
    </w:p>
    <w:p w14:paraId="0610C596" w14:textId="77777777" w:rsidR="000F4ADD" w:rsidRPr="0019113B" w:rsidRDefault="000F4ADD" w:rsidP="000F4ADD">
      <w:r w:rsidRPr="0019113B">
        <w:t>Конкуренция страховщиков за хороших, по-настоящему профессиональных агентов - это еще одно из направлений соревнования страховых компаний. Что бы и кто бы ни говорил, страхование во всем мире продается, а не покупается.</w:t>
      </w:r>
    </w:p>
    <w:p w14:paraId="4C78C9C2" w14:textId="77777777" w:rsidR="000F4ADD" w:rsidRPr="0019113B" w:rsidRDefault="000F4ADD" w:rsidP="000F4ADD">
      <w:r w:rsidRPr="0019113B">
        <w:t>Андрей Мартьянов, генеральный директор СК «МАКС-Жизнь»:</w:t>
      </w:r>
    </w:p>
    <w:p w14:paraId="50E0EF24" w14:textId="77777777" w:rsidR="000F4ADD" w:rsidRPr="0019113B" w:rsidRDefault="000F4ADD" w:rsidP="000F4ADD">
      <w:r w:rsidRPr="0019113B">
        <w:t>- Особенность ситуации, в которой находятся страховщики жизни, заключается в том, что им, помимо внутриотраслевого соперничества, приходится конкурировать с негосударственными пенсионными фондами, управляющими компаниями и банками.</w:t>
      </w:r>
    </w:p>
    <w:p w14:paraId="604325D9" w14:textId="77777777" w:rsidR="000F4ADD" w:rsidRPr="0019113B" w:rsidRDefault="000F4ADD" w:rsidP="000F4ADD">
      <w:r w:rsidRPr="0019113B">
        <w:t>Для успеха в этой конкурентной гонке страховым компаниям необходимо максимально реализовать ценность продуктов за счет инвестиционных программ, накопительных программ для детей и взрослых и развития клиентских онлайн-сервисов.</w:t>
      </w:r>
    </w:p>
    <w:p w14:paraId="0B0FD3A5" w14:textId="77777777" w:rsidR="000F4ADD" w:rsidRPr="0019113B" w:rsidRDefault="000F4ADD" w:rsidP="000F4ADD">
      <w:r w:rsidRPr="0019113B">
        <w:t>Иван Матвеев, первый заместитель генерального директора «Ингосстраха»:</w:t>
      </w:r>
    </w:p>
    <w:p w14:paraId="7937244C" w14:textId="77777777" w:rsidR="000F4ADD" w:rsidRPr="0019113B" w:rsidRDefault="000F4ADD" w:rsidP="000F4ADD">
      <w:r w:rsidRPr="0019113B">
        <w:t>- Сейчас страховщики вынуждены конкурировать не только друг с другом, но и с другими компаниями на рынке. В части рекрутинга сотрудников мы конкурируем с ИТ-гигантами за аналитиков, разработчиков, маркетологов. Последние несколько лет «Ингосстрах» развивает собственную экосистему, и здесь мы сталкиваемся в конкурентной борьбе с передовым российским финтехом, телеоператорами и маркетплейсами.</w:t>
      </w:r>
    </w:p>
    <w:p w14:paraId="53788320" w14:textId="77777777" w:rsidR="000F4ADD" w:rsidRPr="0019113B" w:rsidRDefault="000F4ADD" w:rsidP="000F4ADD">
      <w:r w:rsidRPr="0019113B">
        <w:t>В текущих условиях также важны устойчивость бизнеса и его социальная ответственность - все больше клиентов обращают внимание на данные аспекты.</w:t>
      </w:r>
    </w:p>
    <w:p w14:paraId="514B44DB" w14:textId="77777777" w:rsidR="000F4ADD" w:rsidRPr="0019113B" w:rsidRDefault="000F4ADD" w:rsidP="000F4ADD">
      <w:r w:rsidRPr="0019113B">
        <w:t>Иван Мироненко, генеральный директор «Т-Страхования»:</w:t>
      </w:r>
    </w:p>
    <w:p w14:paraId="4F9D646B" w14:textId="77777777" w:rsidR="000F4ADD" w:rsidRPr="0019113B" w:rsidRDefault="000F4ADD" w:rsidP="000F4ADD">
      <w:r w:rsidRPr="0019113B">
        <w:t>- Мы в «Т-Страховании» изначально двигались по онлайн-модели бизнеса: отсутствие офисов, цифровой документооборот, скорость и работа с клиентом напрямую. И это дало результат: сейчас 90% урегулирований у нас происходит онлайн, что почти вдвое выше среднерыночного уровня. Конкуренция необходима, чтобы такие стандарты стали нормой, а не исключением.</w:t>
      </w:r>
    </w:p>
    <w:p w14:paraId="6422350F" w14:textId="77777777" w:rsidR="000F4ADD" w:rsidRPr="0019113B" w:rsidRDefault="000F4ADD" w:rsidP="000F4ADD">
      <w:r w:rsidRPr="0019113B">
        <w:t xml:space="preserve">Сегодня страховщики конкурируют не только между собой, но и с финтех-компаниями, предлагающими цифровые решения, а также с маркетплейсами, которые собирают различные страховые продукты под одной крышей и привлекают клиентов удобством выбора и дополнительными сервисами. Борьба за клиента ведется в нескольких направлениях: технологическое развитие, ценность клиентского опыта, создание </w:t>
      </w:r>
      <w:r w:rsidRPr="0019113B">
        <w:lastRenderedPageBreak/>
        <w:t>экосистемных решений, улучшение существующих страховых опций или расширение продуктовой линейки при сохранении конкурентоспособных тарифов.</w:t>
      </w:r>
    </w:p>
    <w:p w14:paraId="0F5A78A3" w14:textId="77777777" w:rsidR="000F4ADD" w:rsidRPr="0019113B" w:rsidRDefault="000F4ADD" w:rsidP="000F4ADD">
      <w:r w:rsidRPr="0019113B">
        <w:t>Первыми придут те, кто сможет соединить технологии с настоящим персонализированным подходом и интегрироваться в ИТ-инфраструктуру, в которой клиент проводит больше всего времени. Мы конкурируем не только условиями самого полиса, а качеством и скоростью всего процесса: от оформления до урегулирования, включая человеческий подход в сложной ситуации.</w:t>
      </w:r>
    </w:p>
    <w:p w14:paraId="1CD2C62E" w14:textId="77777777" w:rsidR="000F4ADD" w:rsidRPr="0019113B" w:rsidRDefault="000F4ADD" w:rsidP="000F4ADD">
      <w:r w:rsidRPr="0019113B">
        <w:t>Олег Овсяницкий, генеральный директор компании «Югория»:</w:t>
      </w:r>
    </w:p>
    <w:p w14:paraId="5D0998B1" w14:textId="77777777" w:rsidR="000F4ADD" w:rsidRPr="0019113B" w:rsidRDefault="000F4ADD" w:rsidP="000F4ADD">
      <w:r w:rsidRPr="0019113B">
        <w:t>- Конкуренция - это лучший стимул для непрерывного совершенствования своих продуктов и сервисов: оптимальный пакет рисков, рациональная цена и качественное обслуживание, сделанное лучше, чем у других,- все это дает мощный стимул к саморазвитию, расширению страхового рынка. Развитие цифровых технологий в значительной мере поменяло конкурентные стратегии страховщиков. Если раньше конкуренция в страховании шла во многом за каналы продаж, то сегодня в условиях глобальной информационной прозрачности выигрывает тот, кто максимально точно определит стоимость риска и получит позитивные отзывы клиентов, не обманув их ожиданий.</w:t>
      </w:r>
    </w:p>
    <w:p w14:paraId="5433B12A" w14:textId="77777777" w:rsidR="000F4ADD" w:rsidRPr="0019113B" w:rsidRDefault="000F4ADD" w:rsidP="000F4ADD">
      <w:r w:rsidRPr="0019113B">
        <w:t>Дмитрий Руденко, генеральный директор «Абсолют-Страхования»:</w:t>
      </w:r>
    </w:p>
    <w:p w14:paraId="5E20838E" w14:textId="77777777" w:rsidR="000F4ADD" w:rsidRPr="0019113B" w:rsidRDefault="000F4ADD" w:rsidP="000F4ADD">
      <w:r w:rsidRPr="0019113B">
        <w:t>- Нельзя не отметить, что на данный момент мешает здоровой конкуренции. Участие в конкурсах по госзакупкам ФЗ (услуги по страхованию) в рамках 44-ФЗ «О контрактной системе в сфере закупок товаров, работ, услуг для обеспечения государственных и муниципальных нужд» и федерального закона от 18.07.2011 г. №223-ФЗ «О закупках товаров, работ, услуг отдельными видами юридических лиц» требует установления опыта оказания страховых услуг, что является завышенным требованием к участникам закупок и ограничивает доступ к закупкам других страховщиков.</w:t>
      </w:r>
    </w:p>
    <w:p w14:paraId="2063BCA0" w14:textId="77777777" w:rsidR="000F4ADD" w:rsidRPr="0019113B" w:rsidRDefault="000F4ADD" w:rsidP="000F4ADD">
      <w:r w:rsidRPr="0019113B">
        <w:t>Либо в конкурсных условиях содержится обязательное условие о наличии филиалов во всех регионах РФ. При этом в настоящее время убытки урегулируются дистанционно, и наличие филиалов, на наш взгляд,- избыточное требование, не влияющее на качество оказываемых страховых услуг и ограничивающее конкуренцию.</w:t>
      </w:r>
    </w:p>
    <w:p w14:paraId="2D47F807" w14:textId="77777777" w:rsidR="000F4ADD" w:rsidRPr="0019113B" w:rsidRDefault="000F4ADD" w:rsidP="000F4ADD">
      <w:r w:rsidRPr="0019113B">
        <w:t>Современный розничный клиент выбирает те компании, которые делают страхование прозрачным и понятным. Клиенты хотят покупать страховые услуги как на маркетплейсе. Конкуренция в доступности при оформлении измеряется в количествах кликов: чем меньше, тем лучше. С точки зрения урегулирования убытков - минимизация пакетов и сокращение сроков без посещения офиса страховщика. Гонка будет выиграна теми, кто отвечает современным требованиям клиента, кто быстро реагирует, просто объясняет и делает страховое возмещение в течение 30 минут.</w:t>
      </w:r>
    </w:p>
    <w:p w14:paraId="3D02FD55" w14:textId="77777777" w:rsidR="000F4ADD" w:rsidRPr="0019113B" w:rsidRDefault="000F4ADD" w:rsidP="000F4ADD">
      <w:r w:rsidRPr="0019113B">
        <w:t>Валерий Смирнов, генеральный директор СК «Росгосстрах Жизнь»:</w:t>
      </w:r>
    </w:p>
    <w:p w14:paraId="36BD8916" w14:textId="77777777" w:rsidR="000F4ADD" w:rsidRPr="0019113B" w:rsidRDefault="000F4ADD" w:rsidP="000F4ADD">
      <w:r w:rsidRPr="0019113B">
        <w:t xml:space="preserve">- Считаю, что конкурировать нужно на уровне идей, создавая новые востребованные для потребителя продукты, а не на уровне экономики продукта и десятых долей процентов доходности. Именно так на рынке страхования жизни появились продукты НСЖ с регулярными взносами и гарантированной доходностью, продукты НСЖ со страховым покрытием по самому важному в жизни риску - смерть по любой причине, который в 60 раз превышает взнос клиента, а также продукты с привязкой к ключевой ставке. </w:t>
      </w:r>
      <w:r w:rsidRPr="0019113B">
        <w:lastRenderedPageBreak/>
        <w:t>Благодаря такой конкуренции рынок страхования жизни динамично развивается, предлагая клиентам самый широкий спектр продуктов и услуг, в отличие от других финансовых сфер. Но иногда конкуренция проиграна еще до начала гонки, когда на старте условия не равны.</w:t>
      </w:r>
    </w:p>
    <w:p w14:paraId="2040D75A" w14:textId="77777777" w:rsidR="000F4ADD" w:rsidRPr="0019113B" w:rsidRDefault="000F4ADD" w:rsidP="000F4ADD">
      <w:r w:rsidRPr="0019113B">
        <w:t>Мы очень надеемся, что набор льгот позволит клиенту действительно выбирать из равнозначных вариантов, а не будет так, что у одного из трех продуктов (НСЖ, ПДС, ИИС) льготы будут существенно интереснее и в другие продукты клиент просто не захочет идти.</w:t>
      </w:r>
    </w:p>
    <w:p w14:paraId="729260AC" w14:textId="77777777" w:rsidR="000F4ADD" w:rsidRPr="0019113B" w:rsidRDefault="000F4ADD" w:rsidP="000F4ADD">
      <w:r w:rsidRPr="0019113B">
        <w:t>Евгений Уфимцев, президент Всероссийского союза страховщиков, Российского союза автостраховщиков:</w:t>
      </w:r>
    </w:p>
    <w:p w14:paraId="7493A389" w14:textId="77777777" w:rsidR="000F4ADD" w:rsidRPr="0019113B" w:rsidRDefault="000F4ADD" w:rsidP="000F4ADD">
      <w:r w:rsidRPr="0019113B">
        <w:t>- Российским страховщикам предстоит ответить на три вызова, которые стоят перед ними в сфере конкуренции за клиента.</w:t>
      </w:r>
    </w:p>
    <w:p w14:paraId="5EF5C51D" w14:textId="77777777" w:rsidR="000F4ADD" w:rsidRPr="0019113B" w:rsidRDefault="000F4ADD" w:rsidP="000F4ADD">
      <w:r w:rsidRPr="0019113B">
        <w:t>Первый вызов состоит в том, насколько полно цифровизация без ущерба может вытеснить из процесса продаж человека. За расширением электронных продаж, за появлением большого количества быстро меняющихся продуктов, которые создают страховщики, порой теряется ценность страхования. Для многих клиентов смысл страхования - это как раз общение с человеком, правильное объяснение продукта.</w:t>
      </w:r>
    </w:p>
    <w:p w14:paraId="1597DD9A" w14:textId="77777777" w:rsidR="000F4ADD" w:rsidRPr="0019113B" w:rsidRDefault="000F4ADD" w:rsidP="000F4ADD">
      <w:r w:rsidRPr="0019113B">
        <w:t>Второе направление, в рамках которого страховщики конкурируют за клиентов,- это разнообразие продуктовых предложений. Еще пять лет назад классический полис каско ассоциировался с дорогим продуктом и включал в себя полный набор рисков. Сегодня к таким программам добавилось огромное количество договоров с разнообразием рисков, условий, франшиз и других параметров. Разрастание вариативности разновидностей полисов отмечается и в других видах страхования, где страховщики стали очень активно организовывать продажи полисов через мобильные приложения, через цифровые технологии посредников, в точках продаж бытовых продуктов.</w:t>
      </w:r>
    </w:p>
    <w:p w14:paraId="7E1D1E48" w14:textId="77777777" w:rsidR="000F4ADD" w:rsidRPr="0019113B" w:rsidRDefault="000F4ADD" w:rsidP="000F4ADD">
      <w:r w:rsidRPr="0019113B">
        <w:t>Третья ключевая задача для страховщиков, она же самая важная,- обеспечение клиентской ценности страхового продукта. Решение этой задачи в том числе будет актуально как для страховщиков не жизни, так и для страховщиков жизни, которые готовятся к запуску полисов долевого страхования жизни, где зашиты разные интересные предложения для потребителя.</w:t>
      </w:r>
    </w:p>
    <w:p w14:paraId="3E1F98FB" w14:textId="77777777" w:rsidR="000F4ADD" w:rsidRPr="0019113B" w:rsidRDefault="000F4ADD" w:rsidP="000F4ADD">
      <w:r w:rsidRPr="0019113B">
        <w:t>Игорь Фатьянов, генеральный директор ГК «Зетта Страхование»:</w:t>
      </w:r>
    </w:p>
    <w:p w14:paraId="5D3CB384" w14:textId="77777777" w:rsidR="000F4ADD" w:rsidRPr="0019113B" w:rsidRDefault="000F4ADD" w:rsidP="000F4ADD">
      <w:r w:rsidRPr="0019113B">
        <w:t xml:space="preserve">- Важно различать конкуренцию, ориентированную на долгосрочные цели, и конкуренцию наживы. Страховой рынок требует долгосрочного планирования, учитывающего как положительные, так и отрицательные последствия решений. Именно такой осознанный менеджмент, основанный на прогнозах, составляет умную, или осмысленную, конкуренцию. Рынок развивается, и конкуренция может принимать самые разные формы. Существенная часть рынка вообще закрыта для конкуренции из-за высокой доли кэптивного страхования. А последним трендом можно считать появление новых форм управления риском. Ярко иллюстрирует эту тенденцию пример одного крупного банка, который вообще отказался от страхования рисков заемщиков. Наиболее весомым фактором принято считать цену полису. Хотя действует он как оружие массового поражения - безжалостно и беспощадно. Компании конкурируют также по комиссионному вознаграждению и условиям продуктов. Самая качественная и </w:t>
      </w:r>
      <w:r w:rsidRPr="0019113B">
        <w:lastRenderedPageBreak/>
        <w:t>эффективная форма конкуренции - сервисная, и она требует максимального уровня компетенций.</w:t>
      </w:r>
    </w:p>
    <w:p w14:paraId="7CBFC317" w14:textId="77777777" w:rsidR="000F4ADD" w:rsidRPr="0019113B" w:rsidRDefault="000F4ADD" w:rsidP="000F4ADD">
      <w:r w:rsidRPr="0019113B">
        <w:t>Владимир Черников, генеральный директор СК «Ингосстрах-Жизнь»:</w:t>
      </w:r>
    </w:p>
    <w:p w14:paraId="63AC3806" w14:textId="77777777" w:rsidR="000F4ADD" w:rsidRPr="0019113B" w:rsidRDefault="000F4ADD" w:rsidP="000F4ADD">
      <w:r w:rsidRPr="0019113B">
        <w:t>- Именно конкуренция подталкивает рынок к развитию, заставляет компании тоньше чувствовать потребности людей и предлагать не просто страховые продукты, а действительно полезные жизненные решения. Если говорить о рынке страхования жизни, конкуренция для меня - это не про продажи, не про борьбу за долю рынка. Это, на мой взгляд, про любовь к своей работе, про глубинные профессиональные знания предмета, про умение выстраивать доверительные долгосрочные отношения с клиентами, их понимать и любить.</w:t>
      </w:r>
    </w:p>
    <w:p w14:paraId="60EE22F5" w14:textId="77777777" w:rsidR="000F4ADD" w:rsidRPr="0019113B" w:rsidRDefault="000F4ADD" w:rsidP="000F4ADD">
      <w:r w:rsidRPr="0019113B">
        <w:t>Максим Шепелев, генеральный директор ПАО «СК «Росгосстрах»«:</w:t>
      </w:r>
    </w:p>
    <w:p w14:paraId="2ABFF69C" w14:textId="77777777" w:rsidR="000F4ADD" w:rsidRPr="0019113B" w:rsidRDefault="000F4ADD" w:rsidP="000F4ADD">
      <w:r w:rsidRPr="0019113B">
        <w:t>- Нам нужна здоровая конкуренция. Не гонка за самыми низкими ценами на ОСАГО, а соревнование в качестве страхового сервиса, в прозрачности условий и в скорости помощи людям, когда она нужна больше всего. По правде говоря, наша цель - сделать страхование для россиян естественным и понятным. Чтобы оно было невидимым фоном, но при этом неотъемлемой частью спокойной и осознанной жизни.</w:t>
      </w:r>
    </w:p>
    <w:p w14:paraId="21647DD7" w14:textId="77777777" w:rsidR="000F4ADD" w:rsidRPr="0019113B" w:rsidRDefault="000F4ADD" w:rsidP="000F4ADD">
      <w:hyperlink r:id="rId48" w:history="1">
        <w:r w:rsidRPr="0019113B">
          <w:rPr>
            <w:rStyle w:val="a3"/>
          </w:rPr>
          <w:t>https://www.insur-info.ru/press/202376/</w:t>
        </w:r>
      </w:hyperlink>
      <w:r w:rsidRPr="0019113B">
        <w:t xml:space="preserve"> </w:t>
      </w:r>
    </w:p>
    <w:p w14:paraId="273C594E" w14:textId="77777777" w:rsidR="007A5DD0" w:rsidRPr="0019113B" w:rsidRDefault="007A5DD0" w:rsidP="007A5DD0">
      <w:pPr>
        <w:pStyle w:val="2"/>
      </w:pPr>
      <w:bookmarkStart w:id="163" w:name="_Toc201902002"/>
      <w:r w:rsidRPr="0019113B">
        <w:t>Пенсия.pro, 26.06.2025, Как копить с иностранными ценными бумагами в 2025 году — полная инструкция</w:t>
      </w:r>
      <w:bookmarkEnd w:id="163"/>
    </w:p>
    <w:p w14:paraId="513AC1A7" w14:textId="77777777" w:rsidR="007A5DD0" w:rsidRPr="0019113B" w:rsidRDefault="007A5DD0" w:rsidP="0097376F">
      <w:pPr>
        <w:pStyle w:val="3"/>
      </w:pPr>
      <w:bookmarkStart w:id="164" w:name="_Toc201902003"/>
      <w:r w:rsidRPr="0019113B">
        <w:t>Российские компании отказываются платить дивиденды, доходность облигаций вот-вот начнется снижаться, Мосбиржа в целом последние годы не отличается стабильностью. До 2022 года было просто: можно было инвестировать в иностранные ценные бумаги. Теперь на Apple или Tesla так просто не заработаешь. Как из-за международных санкций, так и из-за внутренних ограничений. Однако инвестировать в иностранные ценные бумаги можно. Объясняем, как.</w:t>
      </w:r>
      <w:bookmarkEnd w:id="164"/>
    </w:p>
    <w:p w14:paraId="562405F9" w14:textId="77777777" w:rsidR="007A5DD0" w:rsidRPr="0019113B" w:rsidRDefault="007A5DD0" w:rsidP="007A5DD0">
      <w:r w:rsidRPr="0019113B">
        <w:t>Ограничения и возможности на бирже</w:t>
      </w:r>
    </w:p>
    <w:p w14:paraId="3F060749" w14:textId="77777777" w:rsidR="007A5DD0" w:rsidRPr="0019113B" w:rsidRDefault="007A5DD0" w:rsidP="007A5DD0">
      <w:r w:rsidRPr="0019113B">
        <w:t>Просто взять и купить любую иностранную акцию невозможно: европейские и американские бумаги в России не доступны. С 1 января 2025 года правила ужесточило российское правительство: неквалифицированные инвесторы могут купить иностранные ценные бумаги только стран ЕАЭС (Армения, Беларусь, Казахстан, Кыргызстан). Покупать бумаги так называемых недружественных стран неквалам, то есть почти всем частным инвесторам, запрещено. Неквалифицированные инвесторы также не могут приобретать депозитарные расписки, удостоверяющие право собственности на акции иностранных компаний.</w:t>
      </w:r>
    </w:p>
    <w:p w14:paraId="65524F96" w14:textId="77777777" w:rsidR="007A5DD0" w:rsidRPr="0019113B" w:rsidRDefault="007A5DD0" w:rsidP="007A5DD0">
      <w:r w:rsidRPr="0019113B">
        <w:t>Государство разделяет неквалифицированных (неквалов) и квалифицированных (квалов) инвесторов. Первым запрещают участвовать в сделках повышенного риска. Статус квала можно получить при выполнении любого из требований: экономическое образование, работа в компании, связанной с ценными бумагами, иметь на брокерском счете от 12 млн рублей, совершать сделки не менее чем на 6 млн рублей.</w:t>
      </w:r>
    </w:p>
    <w:p w14:paraId="21C4260E" w14:textId="77777777" w:rsidR="007A5DD0" w:rsidRPr="0019113B" w:rsidRDefault="007A5DD0" w:rsidP="007A5DD0">
      <w:r w:rsidRPr="0019113B">
        <w:lastRenderedPageBreak/>
        <w:t>Квалифицированные инвесторы, соответственно, могут торговать иностранными ценными бумагами. В теории. На практике Санкт-Петербургская биржа, которая и торговала привычными иностранными активами, больше с ними не работает (и вообще почти не работает), через Мосбиржу тоже ни «Теслу», ни «Амазон» не купить.</w:t>
      </w:r>
    </w:p>
    <w:p w14:paraId="7CF4A486" w14:textId="77777777" w:rsidR="007A5DD0" w:rsidRPr="0019113B" w:rsidRDefault="007A5DD0" w:rsidP="007A5DD0">
      <w:r w:rsidRPr="0019113B">
        <w:t>Если вы хотите купить что-то более интересное гособлигаций Казахстана, придется искать обходные пути.</w:t>
      </w:r>
    </w:p>
    <w:p w14:paraId="5058A6C9" w14:textId="77777777" w:rsidR="007A5DD0" w:rsidRPr="0019113B" w:rsidRDefault="007A5DD0" w:rsidP="007A5DD0">
      <w:r w:rsidRPr="0019113B">
        <w:t>Фьючерсы на индексы</w:t>
      </w:r>
    </w:p>
    <w:p w14:paraId="74033B77" w14:textId="77777777" w:rsidR="007A5DD0" w:rsidRPr="0019113B" w:rsidRDefault="007A5DD0" w:rsidP="007A5DD0">
      <w:r w:rsidRPr="0019113B">
        <w:t>Итак, прямого доступа к иностранным акциям у неквалов (да и у квалов, по большому счету) нет. Но их можно купить через фьючерсы на индексы, в состав которых эти компании входят.</w:t>
      </w:r>
    </w:p>
    <w:p w14:paraId="3B0D4B40" w14:textId="77777777" w:rsidR="007A5DD0" w:rsidRPr="0019113B" w:rsidRDefault="007A5DD0" w:rsidP="007A5DD0">
      <w:r w:rsidRPr="0019113B">
        <w:t>Фьючерс — это такой контракт на будущую цену. То есть вы сейчас договариваетесь с продавцом, что, условно, 9 сентября купите у него акцию за 1000 рублей. Сегодня вы платите небольшую часть (гарантийное обеспечение), а всю сумму — 9 сентября. В этот день реальные акции стоят 1500 рублей? Поздравляем с прибылью. Рухнули до 800 рублей? Увы, несете убыток. Ну а индексом называют сборную солянку из ценных бумаг, объединенных по какому-то признаку: американские акции, ценные бумаги строительной сферы и так далее. Вы покупаете кусочек индекса и зарабатываете, если индекс дорожает.</w:t>
      </w:r>
    </w:p>
    <w:p w14:paraId="080CBC62" w14:textId="77777777" w:rsidR="007A5DD0" w:rsidRPr="0019113B" w:rsidRDefault="007A5DD0" w:rsidP="007A5DD0">
      <w:r w:rsidRPr="0019113B">
        <w:t>Так вот, даже обычному инвестору в России это доступно. Вот на какие индексы можно оформить фьючерсы через Мосбиржу:</w:t>
      </w:r>
    </w:p>
    <w:p w14:paraId="6BA39ED1" w14:textId="77777777" w:rsidR="007A5DD0" w:rsidRPr="0019113B" w:rsidRDefault="007A5DD0" w:rsidP="007A5DD0">
      <w:r w:rsidRPr="0019113B">
        <w:t xml:space="preserve">    Nasdaq 100 — отслеживает акции 100 крупнейших американских компаний и компаний других стран, которые обращаются на бирже Nasdaq. Более половины активов — технологический сектор.</w:t>
      </w:r>
    </w:p>
    <w:p w14:paraId="7F109FFF" w14:textId="77777777" w:rsidR="007A5DD0" w:rsidRPr="0019113B" w:rsidRDefault="007A5DD0" w:rsidP="007A5DD0">
      <w:r w:rsidRPr="0019113B">
        <w:t xml:space="preserve">    S&amp;P 500 — еще один индекс американских компаний, отслеживает акции 500 крупнейших публичных компаний США.</w:t>
      </w:r>
    </w:p>
    <w:p w14:paraId="3BD70561" w14:textId="77777777" w:rsidR="007A5DD0" w:rsidRPr="0019113B" w:rsidRDefault="007A5DD0" w:rsidP="007A5DD0">
      <w:r w:rsidRPr="0019113B">
        <w:t xml:space="preserve">    Russell 2000 — этот индекс состоит из акций США с малой капитализацией.</w:t>
      </w:r>
    </w:p>
    <w:p w14:paraId="42F62AF0" w14:textId="77777777" w:rsidR="007A5DD0" w:rsidRPr="0019113B" w:rsidRDefault="007A5DD0" w:rsidP="007A5DD0">
      <w:r w:rsidRPr="0019113B">
        <w:t xml:space="preserve">    Hang Seng — индекс Гонконгской биржи, включает акции 60 крупнейших компаний Гонконга, китайских технологических и финансовых гигантов.</w:t>
      </w:r>
    </w:p>
    <w:p w14:paraId="78DA04B6" w14:textId="77777777" w:rsidR="007A5DD0" w:rsidRPr="0019113B" w:rsidRDefault="007A5DD0" w:rsidP="007A5DD0">
      <w:r w:rsidRPr="0019113B">
        <w:t xml:space="preserve">    DAX 40 — сюда входят бумаги 40 крупнейших компаний, торгующихся на Франкфуртской фондовой бирже.</w:t>
      </w:r>
    </w:p>
    <w:p w14:paraId="5EF3BDEA" w14:textId="77777777" w:rsidR="007A5DD0" w:rsidRPr="0019113B" w:rsidRDefault="007A5DD0" w:rsidP="007A5DD0">
      <w:r w:rsidRPr="0019113B">
        <w:t xml:space="preserve">    Nikkei 225 — отслеживает крупнейшие японские компании самых разных отраслей.</w:t>
      </w:r>
    </w:p>
    <w:p w14:paraId="47C9A754" w14:textId="77777777" w:rsidR="007A5DD0" w:rsidRPr="0019113B" w:rsidRDefault="007A5DD0" w:rsidP="007A5DD0">
      <w:r w:rsidRPr="0019113B">
        <w:t xml:space="preserve">    India ETF — в этом индексе — индийские компании.</w:t>
      </w:r>
    </w:p>
    <w:p w14:paraId="1E251BE2" w14:textId="77777777" w:rsidR="007A5DD0" w:rsidRPr="0019113B" w:rsidRDefault="007A5DD0" w:rsidP="007A5DD0">
      <w:r w:rsidRPr="0019113B">
        <w:t>Все это торгуется в рублевом эквиваленте. Чтобы получить доступ к бумагам, нужно пройти тестирование на понимание рисков и механики фьючерсов. Сдать его можно прямо в приложении брокера.</w:t>
      </w:r>
    </w:p>
    <w:p w14:paraId="10AB62D4" w14:textId="77777777" w:rsidR="007A5DD0" w:rsidRPr="0019113B" w:rsidRDefault="007A5DD0" w:rsidP="007A5DD0">
      <w:r w:rsidRPr="0019113B">
        <w:t>Фьючерс — финансовый инструмент с кредитным плечом и повышенным риском. Вы вкладываете условно 10 00 рублей, но получаете позицию как будто на 10 000 рублей. Если рынок пойдет не туда, потеряете не проценты, а все, что вложили и еще и должны останетесь. Это спекулятивный инструмент, не подходящий для спокойного накопления.</w:t>
      </w:r>
    </w:p>
    <w:p w14:paraId="19FB1B8F" w14:textId="77777777" w:rsidR="007A5DD0" w:rsidRPr="0019113B" w:rsidRDefault="007A5DD0" w:rsidP="007A5DD0">
      <w:r w:rsidRPr="0019113B">
        <w:t>Структурные ноты</w:t>
      </w:r>
    </w:p>
    <w:p w14:paraId="515D0DCC" w14:textId="77777777" w:rsidR="007A5DD0" w:rsidRPr="0019113B" w:rsidRDefault="007A5DD0" w:rsidP="007A5DD0">
      <w:r w:rsidRPr="0019113B">
        <w:lastRenderedPageBreak/>
        <w:t>Сложный финансовый инструмент, в котором могут быть намешаны акции, облигации, фьючерсы, опционы, даже депозиты. Их выпускают банки, но купить можно как в банке, так и через приложение брокера. Ноты бывают с защитой капитала, со страховкой от падения рынка, с фиксированным или условным купоном. А еще у них есть срок действия и условие, по которому будет начислен (или не начислен) доход.</w:t>
      </w:r>
    </w:p>
    <w:p w14:paraId="79E72492" w14:textId="77777777" w:rsidR="007A5DD0" w:rsidRPr="0019113B" w:rsidRDefault="007A5DD0" w:rsidP="007A5DD0">
      <w:r w:rsidRPr="0019113B">
        <w:t>Когда у вас есть акция, вы следите за кривой этой акции и получаете дивиденды. Облигация? Получаете купоны и ждете дату погашения. Когда у вас нота, вы играете в угадайку. У вас есть условие, например, вы получите прибыль, если главная акция ноты вырастет более чем на 10 %. Или другой вариант — доход будет, если все активы не упадут в цене более чем на 20 %. И даже если все акции в ноте взлетели и кратно выросли в цене, но одна, совсем маленькая и почти незаметная, просела на 21 % — увы, никаких вам выплат. Условия могут быть какими угодно.</w:t>
      </w:r>
    </w:p>
    <w:p w14:paraId="3372F099" w14:textId="77777777" w:rsidR="007A5DD0" w:rsidRPr="0019113B" w:rsidRDefault="007A5DD0" w:rsidP="007A5DD0">
      <w:r w:rsidRPr="0019113B">
        <w:t>Некоторые структурные ноты с иностранными активами, которые продаются сейчас:</w:t>
      </w:r>
    </w:p>
    <w:p w14:paraId="5B84E549" w14:textId="77777777" w:rsidR="007A5DD0" w:rsidRPr="0019113B" w:rsidRDefault="007A5DD0" w:rsidP="007A5DD0">
      <w:r w:rsidRPr="0019113B">
        <w:t xml:space="preserve">    Структурная облигация № 266, эмитент ВТБ: в корзине биржевой фонд, отслеживающий индекс S&amp;P 500, покупатель получает доход, если цена вырастет на 50 %.</w:t>
      </w:r>
    </w:p>
    <w:p w14:paraId="145D1B35" w14:textId="77777777" w:rsidR="007A5DD0" w:rsidRPr="0019113B" w:rsidRDefault="007A5DD0" w:rsidP="007A5DD0">
      <w:r w:rsidRPr="0019113B">
        <w:t xml:space="preserve">    Инновации купонный структурный продукт, «БКС Мир Инвестиций»: базовые активы акции Tesla, Nvidia, Advanced Micro Devгices, Dell. Гарантированный купон 7 %, если активы подорожают более чем на 75 %, инвестор получит 20 % по купону. Номинал вернут, если в последний день все активы будут дороже более чем на 60 %.</w:t>
      </w:r>
    </w:p>
    <w:p w14:paraId="52E97321" w14:textId="77777777" w:rsidR="007A5DD0" w:rsidRPr="0019113B" w:rsidRDefault="007A5DD0" w:rsidP="007A5DD0">
      <w:r w:rsidRPr="0019113B">
        <w:t xml:space="preserve">    Структурная нота на нефть, «Райффайзенбанк»: акции ExxonMobil (США), Suncor Energy (Канада), TotalEnergies SE (Франция), BP (транснациональная компания), Royal Dutch Shell (британо-нидерландская компания). Инвестор получает прибыль, если хотя бы четыре акции из шести выполнили условие барьера в 65 %, а убыток — только если три или больше акций упали на 35 % или больше на момент погашения.</w:t>
      </w:r>
    </w:p>
    <w:p w14:paraId="60F29FA3" w14:textId="77777777" w:rsidR="007A5DD0" w:rsidRPr="0019113B" w:rsidRDefault="007A5DD0" w:rsidP="007A5DD0">
      <w:r w:rsidRPr="0019113B">
        <w:t>Структурные ноты доступны только квалифицированным инвесторам. А еще по ним довольно высокий ценовой порог, например, нота на нефть стоит от 10 000 долларов. Кроме того, владеть нотой не равно владеть входящими в нее активами. Вы покупаете не акции и облигации зарубежной компании, а обещание банка/брокера заплатить вам, если активы будут соответствовать условиям договора.</w:t>
      </w:r>
    </w:p>
    <w:p w14:paraId="56E32A92" w14:textId="77777777" w:rsidR="007A5DD0" w:rsidRPr="0019113B" w:rsidRDefault="007A5DD0" w:rsidP="007A5DD0">
      <w:r w:rsidRPr="0019113B">
        <w:t>Торговля вне биржи</w:t>
      </w:r>
    </w:p>
    <w:p w14:paraId="63E514A1" w14:textId="77777777" w:rsidR="007A5DD0" w:rsidRPr="0019113B" w:rsidRDefault="007A5DD0" w:rsidP="007A5DD0">
      <w:r w:rsidRPr="0019113B">
        <w:t>С 28 апреля Московская биржа запустила возможность внебиржевой торговли иностранными бумагами из перечня, в который попали более сотни компаний, в том числе American Airlines, Apple, Booking, Coca-Cola, Microsoft, Tesla, а также 19 фондов FinEx. Это активы, которые были заблокированы из-за санкций с 2022 года. Раньше подобную возможность давали «Финам» и «Т-Инвестиции», но только среди своих клиентов, а теперь торговля будет идти между клиентами любых брокеров.</w:t>
      </w:r>
    </w:p>
    <w:p w14:paraId="66554C69" w14:textId="77777777" w:rsidR="007A5DD0" w:rsidRPr="0019113B" w:rsidRDefault="007A5DD0" w:rsidP="007A5DD0">
      <w:r w:rsidRPr="0019113B">
        <w:t>Неквалы могут только продавать бумаги. Квалифицированные инвесторы могут и продавать, и покупать активы. Исключение — ИИС. Покупать иностранные акции/облигации на ИИС нельзя.</w:t>
      </w:r>
    </w:p>
    <w:p w14:paraId="716155DF" w14:textId="77777777" w:rsidR="007A5DD0" w:rsidRPr="0019113B" w:rsidRDefault="007A5DD0" w:rsidP="007A5DD0">
      <w:r w:rsidRPr="0019113B">
        <w:t>У торговли на внебиржевом рынке есть особенности:</w:t>
      </w:r>
    </w:p>
    <w:p w14:paraId="3E284446" w14:textId="77777777" w:rsidR="007A5DD0" w:rsidRPr="0019113B" w:rsidRDefault="007A5DD0" w:rsidP="007A5DD0">
      <w:r w:rsidRPr="0019113B">
        <w:t xml:space="preserve">    идет в рублях;</w:t>
      </w:r>
    </w:p>
    <w:p w14:paraId="29CFF970" w14:textId="77777777" w:rsidR="007A5DD0" w:rsidRPr="0019113B" w:rsidRDefault="007A5DD0" w:rsidP="007A5DD0">
      <w:r w:rsidRPr="0019113B">
        <w:lastRenderedPageBreak/>
        <w:t xml:space="preserve">    ликвидность низкая: участников мало, разрыв между ценой покупки и продажи большая;</w:t>
      </w:r>
    </w:p>
    <w:p w14:paraId="2AA10685" w14:textId="77777777" w:rsidR="007A5DD0" w:rsidRPr="0019113B" w:rsidRDefault="007A5DD0" w:rsidP="007A5DD0">
      <w:r w:rsidRPr="0019113B">
        <w:t xml:space="preserve">    иностранные активы инвесторы вынуждены продавать с огромным дисконтом;</w:t>
      </w:r>
    </w:p>
    <w:p w14:paraId="7E83E511" w14:textId="77777777" w:rsidR="007A5DD0" w:rsidRPr="0019113B" w:rsidRDefault="007A5DD0" w:rsidP="007A5DD0">
      <w:r w:rsidRPr="0019113B">
        <w:t xml:space="preserve">    если цена покупки на 20 % выше цены бумаги на иностранных биржах, может возникнуть материальная выгода, налог составит 13 % или 15 % для налоговых резидентов и 30 % для нерезидентов РФ;</w:t>
      </w:r>
    </w:p>
    <w:p w14:paraId="24F7CBB1" w14:textId="77777777" w:rsidR="007A5DD0" w:rsidRPr="0019113B" w:rsidRDefault="007A5DD0" w:rsidP="007A5DD0">
      <w:r w:rsidRPr="0019113B">
        <w:t xml:space="preserve">    с дивидендов нужно заплатить налог в 30 %;</w:t>
      </w:r>
    </w:p>
    <w:p w14:paraId="514E0B5C" w14:textId="77777777" w:rsidR="007A5DD0" w:rsidRPr="0019113B" w:rsidRDefault="007A5DD0" w:rsidP="007A5DD0">
      <w:r w:rsidRPr="0019113B">
        <w:t xml:space="preserve">    возможные проблемы с разблокировкой внебиржевых активов на бирже (если такое когда-то произойдет).</w:t>
      </w:r>
    </w:p>
    <w:p w14:paraId="3A169BE5" w14:textId="77777777" w:rsidR="007A5DD0" w:rsidRPr="0019113B" w:rsidRDefault="007A5DD0" w:rsidP="007A5DD0">
      <w:r w:rsidRPr="0019113B">
        <w:t>Иностранные биржи для россиян</w:t>
      </w:r>
    </w:p>
    <w:p w14:paraId="10676102" w14:textId="77777777" w:rsidR="007A5DD0" w:rsidRPr="0019113B" w:rsidRDefault="007A5DD0" w:rsidP="007A5DD0">
      <w:r w:rsidRPr="0019113B">
        <w:t>Если российские биржи не дают возможности торговать иностранными бумагами, может, есть смысл делать это на иностранных биржах? Да, и это вполне реально. Нужно определиться, где торговать и с помощью кого.</w:t>
      </w:r>
    </w:p>
    <w:p w14:paraId="690141C5" w14:textId="77777777" w:rsidR="007A5DD0" w:rsidRPr="0019113B" w:rsidRDefault="007A5DD0" w:rsidP="007A5DD0">
      <w:r w:rsidRPr="0019113B">
        <w:t>Выйти на Нью-Йоркскую фондовую биржу через приложение «Т-Инвестиций» или «ВТБ Мои Инвестиции» не получится. Нужно найти иностранного брокера, помощника.</w:t>
      </w:r>
    </w:p>
    <w:p w14:paraId="70451DAC" w14:textId="77777777" w:rsidR="007A5DD0" w:rsidRPr="0019113B" w:rsidRDefault="007A5DD0" w:rsidP="007A5DD0">
      <w:r w:rsidRPr="0019113B">
        <w:t>До недавнего времени россияне без особых проблем могли обратиться к компании Interactive Brokers. Летом 2024 года брокер запретил россиянам пополнять счета в нескольких валютах, включая лиры и юани. Затем начались блокировки счетов, в основном неактивных. Сейчас этот брокер продолжает работать с россиянами, но с ограничениями:</w:t>
      </w:r>
    </w:p>
    <w:p w14:paraId="26903A09" w14:textId="77777777" w:rsidR="007A5DD0" w:rsidRPr="0019113B" w:rsidRDefault="007A5DD0" w:rsidP="007A5DD0">
      <w:r w:rsidRPr="0019113B">
        <w:t xml:space="preserve">    нельзя покупать европейские акции;</w:t>
      </w:r>
    </w:p>
    <w:p w14:paraId="060F2A23" w14:textId="77777777" w:rsidR="007A5DD0" w:rsidRPr="0019113B" w:rsidRDefault="007A5DD0" w:rsidP="007A5DD0">
      <w:r w:rsidRPr="0019113B">
        <w:t xml:space="preserve">    запрещены финансовые операции и транзакции с использованием юаня, турецкой лиры, японской йены, венгерского форинта, датской кроны, швейцарского франка;</w:t>
      </w:r>
    </w:p>
    <w:p w14:paraId="0ED04368" w14:textId="77777777" w:rsidR="007A5DD0" w:rsidRPr="0019113B" w:rsidRDefault="007A5DD0" w:rsidP="007A5DD0">
      <w:r w:rsidRPr="0019113B">
        <w:t xml:space="preserve">    если не ведется активная торговля, счет может быть заблокирован;</w:t>
      </w:r>
    </w:p>
    <w:p w14:paraId="66B69338" w14:textId="77777777" w:rsidR="007A5DD0" w:rsidRPr="0019113B" w:rsidRDefault="007A5DD0" w:rsidP="007A5DD0">
      <w:r w:rsidRPr="0019113B">
        <w:t xml:space="preserve">    пополнять счет российской картой невозможно;</w:t>
      </w:r>
    </w:p>
    <w:p w14:paraId="053AAC28" w14:textId="77777777" w:rsidR="007A5DD0" w:rsidRPr="0019113B" w:rsidRDefault="007A5DD0" w:rsidP="007A5DD0">
      <w:r w:rsidRPr="0019113B">
        <w:t xml:space="preserve">    не открываются и блокируются счета у родившихся в Крыму, Донецке, Луганске, у тех, кто находится там, а также в Беларуси.</w:t>
      </w:r>
    </w:p>
    <w:p w14:paraId="36EB21B8" w14:textId="77777777" w:rsidR="007A5DD0" w:rsidRPr="0019113B" w:rsidRDefault="007A5DD0" w:rsidP="007A5DD0">
      <w:r w:rsidRPr="0019113B">
        <w:t>— Брокеры не блокируют портфели, если вывели клиентов на рынок под своей лицензией. На практике, если местный регулятор запрещает брокеру держать счета граждан РФ, то брокер заранее уведомляет клиентов об этом, что бы они закрыли сделки и вывели средства. Брокер не имеет права удерживать средства клиентов.</w:t>
      </w:r>
    </w:p>
    <w:p w14:paraId="7579699B" w14:textId="77777777" w:rsidR="007A5DD0" w:rsidRPr="0019113B" w:rsidRDefault="007A5DD0" w:rsidP="007A5DD0">
      <w:r w:rsidRPr="0019113B">
        <w:t xml:space="preserve">Аслан Туаев, </w:t>
      </w:r>
      <w:r w:rsidRPr="0019113B">
        <w:rPr>
          <w:lang w:val="en-US"/>
        </w:rPr>
        <w:t>Nexttrast</w:t>
      </w:r>
      <w:r w:rsidRPr="0019113B">
        <w:t xml:space="preserve"> </w:t>
      </w:r>
      <w:r w:rsidRPr="0019113B">
        <w:rPr>
          <w:lang w:val="en-US"/>
        </w:rPr>
        <w:t>Marketing</w:t>
      </w:r>
      <w:r w:rsidRPr="0019113B">
        <w:t xml:space="preserve"> </w:t>
      </w:r>
      <w:r w:rsidRPr="0019113B">
        <w:rPr>
          <w:lang w:val="en-US"/>
        </w:rPr>
        <w:t>Management</w:t>
      </w:r>
      <w:r w:rsidRPr="0019113B">
        <w:t>.</w:t>
      </w:r>
    </w:p>
    <w:p w14:paraId="4DD55060" w14:textId="77777777" w:rsidR="007A5DD0" w:rsidRPr="0019113B" w:rsidRDefault="007A5DD0" w:rsidP="007A5DD0">
      <w:r w:rsidRPr="0019113B">
        <w:rPr>
          <w:lang w:val="en-US"/>
        </w:rPr>
        <w:t xml:space="preserve">Freedom Finance Global — </w:t>
      </w:r>
      <w:r w:rsidRPr="0019113B">
        <w:t>казахский</w:t>
      </w:r>
      <w:r w:rsidRPr="0019113B">
        <w:rPr>
          <w:lang w:val="en-US"/>
        </w:rPr>
        <w:t xml:space="preserve"> </w:t>
      </w:r>
      <w:r w:rsidRPr="0019113B">
        <w:t>брокер</w:t>
      </w:r>
      <w:r w:rsidRPr="0019113B">
        <w:rPr>
          <w:lang w:val="en-US"/>
        </w:rPr>
        <w:t xml:space="preserve">. </w:t>
      </w:r>
      <w:r w:rsidRPr="0019113B">
        <w:t>Для регистрации нужен загранпаспорт. Можно выпустить карту инвестора и пополнять счет российскими рублями. В приложении брокера рубли с карты инвестора переводятся на торговый счет и меняются на доллары. Есть доступ к Нью-Йоркской бирже, Nasdaq, Гонконгской бирже. Из минусов — комиссии выше, чем у американских брокеров.</w:t>
      </w:r>
    </w:p>
    <w:p w14:paraId="0B795077" w14:textId="77777777" w:rsidR="007A5DD0" w:rsidRPr="0019113B" w:rsidRDefault="007A5DD0" w:rsidP="007A5DD0">
      <w:r w:rsidRPr="0019113B">
        <w:t xml:space="preserve">Предписания ЦБ РФ о запрете продажи иностранных бумаг неквалам не распространяется на зарубежных брокеров. То есть технически неквал может купить </w:t>
      </w:r>
      <w:r w:rsidRPr="0019113B">
        <w:lastRenderedPageBreak/>
        <w:t>американские акции. Но нужно сообщить в ФНС об открытии счета, отчитаться по валютным операциям и заплатить налоги.</w:t>
      </w:r>
    </w:p>
    <w:p w14:paraId="481093B0" w14:textId="77777777" w:rsidR="007A5DD0" w:rsidRPr="0019113B" w:rsidRDefault="007A5DD0" w:rsidP="007A5DD0">
      <w:r w:rsidRPr="0019113B">
        <w:t>Еще вариант — обратиться в «Финам» и открыть счет «Сегрегированный Global». Платформа обещает доступ крупнейшим американским биржам, а торговля будет идти через FinamTrade. Открыть счет можно лично в офисе или удаленно. Брокером является «Финам», а на него действуют российские законы. То есть этот путь доступен только квалифицированным инвесторам.</w:t>
      </w:r>
    </w:p>
    <w:p w14:paraId="3EFE9217" w14:textId="77777777" w:rsidR="00A32032" w:rsidRPr="0019113B" w:rsidRDefault="007A5DD0" w:rsidP="007A5DD0">
      <w:hyperlink r:id="rId49" w:history="1">
        <w:r w:rsidRPr="0019113B">
          <w:rPr>
            <w:rStyle w:val="a3"/>
          </w:rPr>
          <w:t>https://pensiya.pro/kak-kopit-s-inostrannymi-czennymi-bumagami-v-2025-godu-polnaya-instrukcziya/</w:t>
        </w:r>
      </w:hyperlink>
    </w:p>
    <w:p w14:paraId="47375D50" w14:textId="77777777" w:rsidR="00F93C45" w:rsidRDefault="00F93C45" w:rsidP="00F93C45">
      <w:pPr>
        <w:pStyle w:val="2"/>
      </w:pPr>
      <w:bookmarkStart w:id="165" w:name="_Toc201902004"/>
      <w:r>
        <w:t>Msaonline, 26.06.2025</w:t>
      </w:r>
      <w:r w:rsidRPr="00F93C45">
        <w:t xml:space="preserve">, </w:t>
      </w:r>
      <w:r>
        <w:t>Эксперт об устойчивом экономическом росте в России</w:t>
      </w:r>
      <w:bookmarkEnd w:id="165"/>
    </w:p>
    <w:p w14:paraId="3203A18D" w14:textId="77777777" w:rsidR="00F93C45" w:rsidRDefault="00F93C45" w:rsidP="00F93C45">
      <w:pPr>
        <w:pStyle w:val="3"/>
      </w:pPr>
      <w:bookmarkStart w:id="166" w:name="_Toc201902005"/>
      <w:r>
        <w:t>Среди приоритетных задач развития государства - обеспечение гармоничного экономического роста и преобразование структуры экономики. В рамках ПМЭФ участники различных обсуждений анализировали механизмы достижения качественных сдвигов в экономике, принимая</w:t>
      </w:r>
      <w:bookmarkEnd w:id="166"/>
    </w:p>
    <w:p w14:paraId="50596FBE" w14:textId="77777777" w:rsidR="00F93C45" w:rsidRDefault="00F93C45" w:rsidP="00F93C45">
      <w:r>
        <w:t>Среди приоритетных задач развития государства - обеспечение гармоничного экономического роста и преобразование структуры экономики. В рамках ПМЭФ участники различных обсуждений анализировали механизмы достижения качественных сдвигов в экономике, принимая во внимание потенциал производственного сектора, стратегии российских предприятий, взаимодействие федеральных и региональных властей, а также экспертные оценки и общественное мнение.</w:t>
      </w:r>
    </w:p>
    <w:p w14:paraId="1220BDD8" w14:textId="77777777" w:rsidR="00F93C45" w:rsidRDefault="00F93C45" w:rsidP="00F93C45">
      <w:r>
        <w:t>Минфин и ЦБ работают над формами расширения инструментария для институциональных инвесторов, в том числе рассматривают возможный план IPO, чтобы стимулировать долгосрочные инвестиции в российскую экономику. Эта инициатива направлена на диверсификацию инвестиционных возможностей и повышение привлекательности отечественного рынка для крупных игроков, таких как пенсионные фонды и страховые компании.</w:t>
      </w:r>
    </w:p>
    <w:p w14:paraId="0D1FB793" w14:textId="77777777" w:rsidR="00F93C45" w:rsidRDefault="00F93C45" w:rsidP="00F93C45">
      <w:r>
        <w:t>Одним из ключевых аспектов является разработка новых финансовых инструментов, которые бы отвечали требованиям институциональных инвесторов по уровню риска и доходности. Это включает в себя анализ существующих практик на развитых рынках и адаптацию лучших мировых стандартов к российским условиям.</w:t>
      </w:r>
    </w:p>
    <w:p w14:paraId="14D24D69" w14:textId="77777777" w:rsidR="00F93C45" w:rsidRDefault="00F93C45" w:rsidP="00F93C45">
      <w:r>
        <w:t>Обсуждается также возможность оптимизации нормативно-правовой базы, чтобы упростить процедуры инвестирования и снизить административные барьеры. Это позволит ускорить процесс принятия решений и сделать российский рынок более конкурентоспособным в глобальном масштабе.</w:t>
      </w:r>
    </w:p>
    <w:p w14:paraId="62F061CD" w14:textId="77777777" w:rsidR="00F93C45" w:rsidRDefault="00F93C45" w:rsidP="00F93C45">
      <w:r>
        <w:t>В контексте возможного IPO, Минфин и ЦБ рассматривают различные варианты размещения акций государственных компаний, а также стимулирование частных компаний к выходу на биржу. Это позволит привлечь дополнительный капитал в экономику и повысить прозрачность деятельности предприятий.</w:t>
      </w:r>
    </w:p>
    <w:p w14:paraId="3AE4D934" w14:textId="77777777" w:rsidR="00F93C45" w:rsidRDefault="00F93C45" w:rsidP="00F93C45">
      <w:r>
        <w:t xml:space="preserve">Министерство труда выступило с инициативой установления минимального размера оплаты труда (МРОТ) на уровне 48% от медианной заработной платы, что позволит </w:t>
      </w:r>
      <w:r>
        <w:lastRenderedPageBreak/>
        <w:t>увеличить его до более чем 27 тысяч рублей к 2026 году. Повышение МРОТ окажет влияние на всех работодателей в стране.</w:t>
      </w:r>
    </w:p>
    <w:p w14:paraId="786D70A9" w14:textId="77777777" w:rsidR="00F93C45" w:rsidRDefault="00F93C45" w:rsidP="00F93C45">
      <w:r>
        <w:t>В Министерстве экономического развития полагают, что переход к экономике предложения посредством перенаправления мер государственной поддержки в реальный сектор экономики позволит задать темп для устойчивого экономического развития России и стимулировать привлечение частных инвестиций в регионы», — комментирует Демченко Ирина, доцент Ставропольского филиала РАНХиГС.</w:t>
      </w:r>
    </w:p>
    <w:p w14:paraId="1987FC42" w14:textId="77777777" w:rsidR="007A5DD0" w:rsidRDefault="00F93C45" w:rsidP="00F93C45">
      <w:hyperlink r:id="rId50" w:anchor="respond" w:history="1">
        <w:r w:rsidRPr="00BD0F8C">
          <w:rPr>
            <w:rStyle w:val="a3"/>
          </w:rPr>
          <w:t>https://msaonline</w:t>
        </w:r>
        <w:r w:rsidRPr="00BD0F8C">
          <w:rPr>
            <w:rStyle w:val="a3"/>
          </w:rPr>
          <w:t>.</w:t>
        </w:r>
        <w:r w:rsidRPr="00BD0F8C">
          <w:rPr>
            <w:rStyle w:val="a3"/>
          </w:rPr>
          <w:t>ru/2025/ehkspert-ob-ustojjchivom-ehkonomicheskom-roste-v-rossii-s1z6/#respond</w:t>
        </w:r>
      </w:hyperlink>
      <w:r w:rsidRPr="00F93C45">
        <w:t xml:space="preserve"> </w:t>
      </w:r>
    </w:p>
    <w:p w14:paraId="10E52302" w14:textId="77777777" w:rsidR="00F93C45" w:rsidRPr="00F93C45" w:rsidRDefault="00F93C45" w:rsidP="00F93C45"/>
    <w:p w14:paraId="417CAB97" w14:textId="77777777" w:rsidR="00111D7C" w:rsidRPr="0019113B" w:rsidRDefault="00111D7C" w:rsidP="00111D7C">
      <w:pPr>
        <w:pStyle w:val="251"/>
      </w:pPr>
      <w:bookmarkStart w:id="167" w:name="_Toc99271712"/>
      <w:bookmarkStart w:id="168" w:name="_Toc99318658"/>
      <w:bookmarkStart w:id="169" w:name="_Toc165991078"/>
      <w:bookmarkStart w:id="170" w:name="_Toc201902006"/>
      <w:bookmarkEnd w:id="155"/>
      <w:bookmarkEnd w:id="156"/>
      <w:r w:rsidRPr="0019113B">
        <w:lastRenderedPageBreak/>
        <w:t>НОВОСТИ ЗАРУБЕЖНЫХ ПЕНСИОННЫХ СИСТЕМ</w:t>
      </w:r>
      <w:bookmarkEnd w:id="167"/>
      <w:bookmarkEnd w:id="168"/>
      <w:bookmarkEnd w:id="169"/>
      <w:bookmarkEnd w:id="170"/>
    </w:p>
    <w:p w14:paraId="66CF8B9B" w14:textId="77777777" w:rsidR="00111D7C" w:rsidRPr="0019113B" w:rsidRDefault="00111D7C" w:rsidP="00111D7C">
      <w:pPr>
        <w:pStyle w:val="10"/>
      </w:pPr>
      <w:bookmarkStart w:id="171" w:name="_Toc99271713"/>
      <w:bookmarkStart w:id="172" w:name="_Toc99318659"/>
      <w:bookmarkStart w:id="173" w:name="_Toc165991079"/>
      <w:bookmarkStart w:id="174" w:name="_Toc201902007"/>
      <w:r w:rsidRPr="0019113B">
        <w:t>Новости пенсионной отрасли стран ближнего зарубежья</w:t>
      </w:r>
      <w:bookmarkEnd w:id="171"/>
      <w:bookmarkEnd w:id="172"/>
      <w:bookmarkEnd w:id="173"/>
      <w:bookmarkEnd w:id="174"/>
    </w:p>
    <w:p w14:paraId="432BABA6" w14:textId="77777777" w:rsidR="00622CC8" w:rsidRPr="0019113B" w:rsidRDefault="00622CC8" w:rsidP="00622CC8">
      <w:pPr>
        <w:pStyle w:val="2"/>
      </w:pPr>
      <w:bookmarkStart w:id="175" w:name="_Toc201902008"/>
      <w:r w:rsidRPr="0019113B">
        <w:t>inbusiness.kz, 26.06.2025, Инфляция продолжает "съедать" пенсии казахстанцев</w:t>
      </w:r>
      <w:bookmarkEnd w:id="175"/>
    </w:p>
    <w:p w14:paraId="7D64E02F" w14:textId="77777777" w:rsidR="00622CC8" w:rsidRPr="0019113B" w:rsidRDefault="00622CC8" w:rsidP="0097376F">
      <w:pPr>
        <w:pStyle w:val="3"/>
      </w:pPr>
      <w:bookmarkStart w:id="176" w:name="_Toc201902009"/>
      <w:r w:rsidRPr="0019113B">
        <w:t>Пенсионные убытки казахстанцев продолжают расти в реальном выражении. Об этом говорит обзор инвестдеятельности Национального банка, управляющего свыше 99% сбережений граждан в Едином накопительном пенсионном фонде (ЕНПФ). По данным фонда, реальная доходность за январь-май текущего года составила "минус" 6,69%, а за последние 12 месяцев 1,78%.  Это наихудшие результаты среди управляющих пенсионными активами (УИП), с которыми ознакомился inbusiness.kz за последний месяц.</w:t>
      </w:r>
      <w:bookmarkEnd w:id="176"/>
    </w:p>
    <w:p w14:paraId="21F965F5" w14:textId="77777777" w:rsidR="00622CC8" w:rsidRPr="0019113B" w:rsidRDefault="00622CC8" w:rsidP="00622CC8">
      <w:r w:rsidRPr="0019113B">
        <w:t>"Размер начисленного инвестиционного дохода с начала 2025 года составил (-)146,36 млрд. тенге. Доходность пенсионных активов ЕНПФ, распределенная на счета вкладчиков (получателей) с начала 2025 года, составила (-)0,69%", - говориться в обзоре инвестдеятельности Нацбанка на 1 июня.</w:t>
      </w:r>
    </w:p>
    <w:p w14:paraId="77C93DA5" w14:textId="77777777" w:rsidR="00622CC8" w:rsidRPr="0019113B" w:rsidRDefault="00622CC8" w:rsidP="00622CC8">
      <w:r w:rsidRPr="0019113B">
        <w:t>Примечательно, что такие результаты образовались при уровне инфляции в 6% с начала года, несмотря на полученный инвестдоход в размере свыше 300 млрд тенге за апрель-май текущего года. Но гораздо большую ценность представляют озвученные Нацбанком причины:</w:t>
      </w:r>
    </w:p>
    <w:p w14:paraId="7E4ED461" w14:textId="77777777" w:rsidR="00622CC8" w:rsidRPr="0019113B" w:rsidRDefault="00622CC8" w:rsidP="00622CC8">
      <w:r w:rsidRPr="0019113B">
        <w:t>"Основными причинами отрицательного инвестиционного дохода с начала текущего года являются: 1) снижение рыночной стоимости государственных ценных бумаг РК в связи с увеличением их доходностей на фоне роста инфляции и инфляционных ожиданий, а также повышенного предложения данных ценных бумаг со стороны министерства финансов; 2) укрепление курса тенге к доллару США, который на начало 2025 года составил 525,11 тенге за доллар, а по итогам мая – 510,81 тенге за доллар".</w:t>
      </w:r>
    </w:p>
    <w:p w14:paraId="31368DBE" w14:textId="77777777" w:rsidR="00622CC8" w:rsidRPr="0019113B" w:rsidRDefault="00622CC8" w:rsidP="00622CC8">
      <w:r w:rsidRPr="0019113B">
        <w:t>Внешне достаточно объективная констатация фактов, повлекших негативные результаты, была дополнена формулировками про "повышенное предложение". Не исключено, что активный выпуск госбумаг повлиял на их стоимость. Более наглядно это отражено в структуре инвестдохода за апрель и май месяцы.</w:t>
      </w:r>
    </w:p>
    <w:p w14:paraId="14E87948" w14:textId="77777777" w:rsidR="00622CC8" w:rsidRPr="0019113B" w:rsidRDefault="00622CC8" w:rsidP="00622CC8">
      <w:r w:rsidRPr="0019113B">
        <w:t>Динамика инвестдохода пенсионных активов под управлением Нацбанка за май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9"/>
        <w:gridCol w:w="1218"/>
        <w:gridCol w:w="1280"/>
        <w:gridCol w:w="1215"/>
      </w:tblGrid>
      <w:tr w:rsidR="00622CC8" w:rsidRPr="0019113B" w14:paraId="78C3C59C" w14:textId="77777777" w:rsidTr="00622CC8">
        <w:trPr>
          <w:tblCellSpacing w:w="0" w:type="dxa"/>
        </w:trPr>
        <w:tc>
          <w:tcPr>
            <w:tcW w:w="4689" w:type="dxa"/>
            <w:vMerge w:val="restart"/>
            <w:tcBorders>
              <w:top w:val="outset" w:sz="6" w:space="0" w:color="auto"/>
              <w:left w:val="outset" w:sz="6" w:space="0" w:color="auto"/>
              <w:bottom w:val="outset" w:sz="6" w:space="0" w:color="auto"/>
              <w:right w:val="outset" w:sz="6" w:space="0" w:color="auto"/>
            </w:tcBorders>
            <w:vAlign w:val="center"/>
            <w:hideMark/>
          </w:tcPr>
          <w:p w14:paraId="35818F08" w14:textId="77777777" w:rsidR="00622CC8" w:rsidRPr="0019113B" w:rsidRDefault="00622CC8" w:rsidP="00622CC8"/>
        </w:tc>
        <w:tc>
          <w:tcPr>
            <w:tcW w:w="2498" w:type="dxa"/>
            <w:gridSpan w:val="2"/>
            <w:tcBorders>
              <w:top w:val="outset" w:sz="6" w:space="0" w:color="auto"/>
              <w:left w:val="outset" w:sz="6" w:space="0" w:color="auto"/>
              <w:bottom w:val="outset" w:sz="6" w:space="0" w:color="auto"/>
              <w:right w:val="outset" w:sz="6" w:space="0" w:color="auto"/>
            </w:tcBorders>
            <w:vAlign w:val="center"/>
            <w:hideMark/>
          </w:tcPr>
          <w:p w14:paraId="4658F182" w14:textId="77777777" w:rsidR="00903835" w:rsidRPr="0019113B" w:rsidRDefault="00622CC8" w:rsidP="00622CC8">
            <w:r w:rsidRPr="0019113B">
              <w:t>Инвестдоход с начала года</w:t>
            </w:r>
          </w:p>
        </w:tc>
        <w:tc>
          <w:tcPr>
            <w:tcW w:w="1132" w:type="dxa"/>
            <w:vMerge w:val="restart"/>
            <w:tcBorders>
              <w:top w:val="outset" w:sz="6" w:space="0" w:color="auto"/>
              <w:left w:val="outset" w:sz="6" w:space="0" w:color="auto"/>
              <w:bottom w:val="outset" w:sz="6" w:space="0" w:color="auto"/>
              <w:right w:val="outset" w:sz="6" w:space="0" w:color="auto"/>
            </w:tcBorders>
            <w:vAlign w:val="center"/>
            <w:hideMark/>
          </w:tcPr>
          <w:p w14:paraId="5D35ECA1" w14:textId="77777777" w:rsidR="00903835" w:rsidRPr="0019113B" w:rsidRDefault="00622CC8" w:rsidP="00622CC8">
            <w:r w:rsidRPr="0019113B">
              <w:t>Изменение, в млрд тг</w:t>
            </w:r>
          </w:p>
        </w:tc>
      </w:tr>
      <w:tr w:rsidR="00622CC8" w:rsidRPr="0019113B" w14:paraId="5D9F622A" w14:textId="77777777" w:rsidTr="00622C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80EBCF" w14:textId="77777777" w:rsidR="00622CC8" w:rsidRPr="0019113B" w:rsidRDefault="00622CC8" w:rsidP="00622CC8"/>
        </w:tc>
        <w:tc>
          <w:tcPr>
            <w:tcW w:w="1218" w:type="dxa"/>
            <w:tcBorders>
              <w:top w:val="outset" w:sz="6" w:space="0" w:color="auto"/>
              <w:left w:val="outset" w:sz="6" w:space="0" w:color="auto"/>
              <w:bottom w:val="outset" w:sz="6" w:space="0" w:color="auto"/>
              <w:right w:val="outset" w:sz="6" w:space="0" w:color="auto"/>
            </w:tcBorders>
            <w:vAlign w:val="center"/>
            <w:hideMark/>
          </w:tcPr>
          <w:p w14:paraId="31E31AAC" w14:textId="77777777" w:rsidR="00903835" w:rsidRPr="0019113B" w:rsidRDefault="00622CC8" w:rsidP="00622CC8">
            <w:r w:rsidRPr="0019113B">
              <w:t>На 01.05.2025</w:t>
            </w:r>
          </w:p>
        </w:tc>
        <w:tc>
          <w:tcPr>
            <w:tcW w:w="1280" w:type="dxa"/>
            <w:tcBorders>
              <w:top w:val="outset" w:sz="6" w:space="0" w:color="auto"/>
              <w:left w:val="outset" w:sz="6" w:space="0" w:color="auto"/>
              <w:bottom w:val="outset" w:sz="6" w:space="0" w:color="auto"/>
              <w:right w:val="outset" w:sz="6" w:space="0" w:color="auto"/>
            </w:tcBorders>
            <w:vAlign w:val="center"/>
            <w:hideMark/>
          </w:tcPr>
          <w:p w14:paraId="70831458" w14:textId="77777777" w:rsidR="00903835" w:rsidRPr="0019113B" w:rsidRDefault="00622CC8" w:rsidP="00622CC8">
            <w:r w:rsidRPr="0019113B">
              <w:t>На 01.06.2025</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B06854" w14:textId="77777777" w:rsidR="00622CC8" w:rsidRPr="0019113B" w:rsidRDefault="00622CC8" w:rsidP="00622CC8"/>
        </w:tc>
      </w:tr>
      <w:tr w:rsidR="00622CC8" w:rsidRPr="0019113B" w14:paraId="3586A26A" w14:textId="77777777" w:rsidTr="00622CC8">
        <w:trPr>
          <w:tblCellSpacing w:w="0" w:type="dxa"/>
        </w:trPr>
        <w:tc>
          <w:tcPr>
            <w:tcW w:w="4689" w:type="dxa"/>
            <w:tcBorders>
              <w:top w:val="outset" w:sz="6" w:space="0" w:color="auto"/>
              <w:left w:val="outset" w:sz="6" w:space="0" w:color="auto"/>
              <w:bottom w:val="outset" w:sz="6" w:space="0" w:color="auto"/>
              <w:right w:val="outset" w:sz="6" w:space="0" w:color="auto"/>
            </w:tcBorders>
            <w:vAlign w:val="center"/>
            <w:hideMark/>
          </w:tcPr>
          <w:p w14:paraId="4685C4A4" w14:textId="77777777" w:rsidR="00903835" w:rsidRPr="0019113B" w:rsidRDefault="00622CC8" w:rsidP="00622CC8">
            <w:r w:rsidRPr="0019113B">
              <w:lastRenderedPageBreak/>
              <w:t>Доходы в виде вознаграждения по ценным бумагам, в том числе по размещенным вкладам и операциям "обратное РЕПО"</w:t>
            </w:r>
          </w:p>
        </w:tc>
        <w:tc>
          <w:tcPr>
            <w:tcW w:w="1218" w:type="dxa"/>
            <w:tcBorders>
              <w:top w:val="outset" w:sz="6" w:space="0" w:color="auto"/>
              <w:left w:val="outset" w:sz="6" w:space="0" w:color="auto"/>
              <w:bottom w:val="outset" w:sz="6" w:space="0" w:color="auto"/>
              <w:right w:val="outset" w:sz="6" w:space="0" w:color="auto"/>
            </w:tcBorders>
            <w:vAlign w:val="center"/>
            <w:hideMark/>
          </w:tcPr>
          <w:p w14:paraId="14D5AA30" w14:textId="77777777" w:rsidR="00903835" w:rsidRPr="0019113B" w:rsidRDefault="00622CC8" w:rsidP="00622CC8">
            <w:r w:rsidRPr="0019113B">
              <w:t>590,71</w:t>
            </w:r>
          </w:p>
        </w:tc>
        <w:tc>
          <w:tcPr>
            <w:tcW w:w="1280" w:type="dxa"/>
            <w:tcBorders>
              <w:top w:val="outset" w:sz="6" w:space="0" w:color="auto"/>
              <w:left w:val="outset" w:sz="6" w:space="0" w:color="auto"/>
              <w:bottom w:val="outset" w:sz="6" w:space="0" w:color="auto"/>
              <w:right w:val="outset" w:sz="6" w:space="0" w:color="auto"/>
            </w:tcBorders>
            <w:vAlign w:val="center"/>
            <w:hideMark/>
          </w:tcPr>
          <w:p w14:paraId="63EEA869" w14:textId="77777777" w:rsidR="00903835" w:rsidRPr="0019113B" w:rsidRDefault="00622CC8" w:rsidP="00622CC8">
            <w:r w:rsidRPr="0019113B">
              <w:t>751,3</w:t>
            </w:r>
          </w:p>
        </w:tc>
        <w:tc>
          <w:tcPr>
            <w:tcW w:w="1132" w:type="dxa"/>
            <w:tcBorders>
              <w:top w:val="outset" w:sz="6" w:space="0" w:color="auto"/>
              <w:left w:val="outset" w:sz="6" w:space="0" w:color="auto"/>
              <w:bottom w:val="outset" w:sz="6" w:space="0" w:color="auto"/>
              <w:right w:val="outset" w:sz="6" w:space="0" w:color="auto"/>
            </w:tcBorders>
            <w:vAlign w:val="center"/>
            <w:hideMark/>
          </w:tcPr>
          <w:p w14:paraId="55BFAE18" w14:textId="77777777" w:rsidR="00903835" w:rsidRPr="0019113B" w:rsidRDefault="00622CC8" w:rsidP="00622CC8">
            <w:r w:rsidRPr="0019113B">
              <w:t>160,59</w:t>
            </w:r>
          </w:p>
        </w:tc>
      </w:tr>
      <w:tr w:rsidR="00622CC8" w:rsidRPr="0019113B" w14:paraId="7E3FAE10" w14:textId="77777777" w:rsidTr="00622CC8">
        <w:trPr>
          <w:tblCellSpacing w:w="0" w:type="dxa"/>
        </w:trPr>
        <w:tc>
          <w:tcPr>
            <w:tcW w:w="4689" w:type="dxa"/>
            <w:tcBorders>
              <w:top w:val="outset" w:sz="6" w:space="0" w:color="auto"/>
              <w:left w:val="outset" w:sz="6" w:space="0" w:color="auto"/>
              <w:bottom w:val="outset" w:sz="6" w:space="0" w:color="auto"/>
              <w:right w:val="outset" w:sz="6" w:space="0" w:color="auto"/>
            </w:tcBorders>
            <w:vAlign w:val="center"/>
            <w:hideMark/>
          </w:tcPr>
          <w:p w14:paraId="0911923B" w14:textId="77777777" w:rsidR="00903835" w:rsidRPr="0019113B" w:rsidRDefault="00622CC8" w:rsidP="00622CC8">
            <w:r w:rsidRPr="0019113B">
              <w:t>Доходы (убытки) от рыночной переоценки ценных бумаг</w:t>
            </w:r>
          </w:p>
        </w:tc>
        <w:tc>
          <w:tcPr>
            <w:tcW w:w="1218" w:type="dxa"/>
            <w:tcBorders>
              <w:top w:val="outset" w:sz="6" w:space="0" w:color="auto"/>
              <w:left w:val="outset" w:sz="6" w:space="0" w:color="auto"/>
              <w:bottom w:val="outset" w:sz="6" w:space="0" w:color="auto"/>
              <w:right w:val="outset" w:sz="6" w:space="0" w:color="auto"/>
            </w:tcBorders>
            <w:vAlign w:val="center"/>
            <w:hideMark/>
          </w:tcPr>
          <w:p w14:paraId="02238D1F" w14:textId="77777777" w:rsidR="00903835" w:rsidRPr="0019113B" w:rsidRDefault="00622CC8" w:rsidP="00622CC8">
            <w:r w:rsidRPr="0019113B">
              <w:t>-591,59</w:t>
            </w:r>
          </w:p>
        </w:tc>
        <w:tc>
          <w:tcPr>
            <w:tcW w:w="1280" w:type="dxa"/>
            <w:tcBorders>
              <w:top w:val="outset" w:sz="6" w:space="0" w:color="auto"/>
              <w:left w:val="outset" w:sz="6" w:space="0" w:color="auto"/>
              <w:bottom w:val="outset" w:sz="6" w:space="0" w:color="auto"/>
              <w:right w:val="outset" w:sz="6" w:space="0" w:color="auto"/>
            </w:tcBorders>
            <w:vAlign w:val="center"/>
            <w:hideMark/>
          </w:tcPr>
          <w:p w14:paraId="28E98DC5" w14:textId="77777777" w:rsidR="00903835" w:rsidRPr="0019113B" w:rsidRDefault="00622CC8" w:rsidP="00622CC8">
            <w:r w:rsidRPr="0019113B">
              <w:t>-664,71</w:t>
            </w:r>
          </w:p>
        </w:tc>
        <w:tc>
          <w:tcPr>
            <w:tcW w:w="1132" w:type="dxa"/>
            <w:tcBorders>
              <w:top w:val="outset" w:sz="6" w:space="0" w:color="auto"/>
              <w:left w:val="outset" w:sz="6" w:space="0" w:color="auto"/>
              <w:bottom w:val="outset" w:sz="6" w:space="0" w:color="auto"/>
              <w:right w:val="outset" w:sz="6" w:space="0" w:color="auto"/>
            </w:tcBorders>
            <w:vAlign w:val="center"/>
            <w:hideMark/>
          </w:tcPr>
          <w:p w14:paraId="22F07831" w14:textId="77777777" w:rsidR="00903835" w:rsidRPr="0019113B" w:rsidRDefault="00622CC8" w:rsidP="00622CC8">
            <w:r w:rsidRPr="0019113B">
              <w:t>-73,12</w:t>
            </w:r>
          </w:p>
        </w:tc>
      </w:tr>
      <w:tr w:rsidR="00622CC8" w:rsidRPr="0019113B" w14:paraId="29D4EE8F" w14:textId="77777777" w:rsidTr="00622CC8">
        <w:trPr>
          <w:tblCellSpacing w:w="0" w:type="dxa"/>
        </w:trPr>
        <w:tc>
          <w:tcPr>
            <w:tcW w:w="4689" w:type="dxa"/>
            <w:tcBorders>
              <w:top w:val="outset" w:sz="6" w:space="0" w:color="auto"/>
              <w:left w:val="outset" w:sz="6" w:space="0" w:color="auto"/>
              <w:bottom w:val="outset" w:sz="6" w:space="0" w:color="auto"/>
              <w:right w:val="outset" w:sz="6" w:space="0" w:color="auto"/>
            </w:tcBorders>
            <w:vAlign w:val="center"/>
            <w:hideMark/>
          </w:tcPr>
          <w:p w14:paraId="6C0599D7" w14:textId="77777777" w:rsidR="00903835" w:rsidRPr="0019113B" w:rsidRDefault="00622CC8" w:rsidP="00622CC8">
            <w:r w:rsidRPr="0019113B">
              <w:t>Доходы (убытки) от переоценки иностранной валюты, за исключением активов во внешнем управлении</w:t>
            </w:r>
          </w:p>
        </w:tc>
        <w:tc>
          <w:tcPr>
            <w:tcW w:w="1218" w:type="dxa"/>
            <w:tcBorders>
              <w:top w:val="outset" w:sz="6" w:space="0" w:color="auto"/>
              <w:left w:val="outset" w:sz="6" w:space="0" w:color="auto"/>
              <w:bottom w:val="outset" w:sz="6" w:space="0" w:color="auto"/>
              <w:right w:val="outset" w:sz="6" w:space="0" w:color="auto"/>
            </w:tcBorders>
            <w:vAlign w:val="center"/>
            <w:hideMark/>
          </w:tcPr>
          <w:p w14:paraId="2DEBBB07" w14:textId="77777777" w:rsidR="00903835" w:rsidRPr="0019113B" w:rsidRDefault="00622CC8" w:rsidP="00622CC8">
            <w:r w:rsidRPr="0019113B">
              <w:t>-93,12</w:t>
            </w:r>
          </w:p>
        </w:tc>
        <w:tc>
          <w:tcPr>
            <w:tcW w:w="1280" w:type="dxa"/>
            <w:tcBorders>
              <w:top w:val="outset" w:sz="6" w:space="0" w:color="auto"/>
              <w:left w:val="outset" w:sz="6" w:space="0" w:color="auto"/>
              <w:bottom w:val="outset" w:sz="6" w:space="0" w:color="auto"/>
              <w:right w:val="outset" w:sz="6" w:space="0" w:color="auto"/>
            </w:tcBorders>
            <w:vAlign w:val="center"/>
            <w:hideMark/>
          </w:tcPr>
          <w:p w14:paraId="4772C100" w14:textId="77777777" w:rsidR="00903835" w:rsidRPr="0019113B" w:rsidRDefault="00622CC8" w:rsidP="00622CC8">
            <w:r w:rsidRPr="0019113B">
              <w:t>-105,95</w:t>
            </w:r>
          </w:p>
        </w:tc>
        <w:tc>
          <w:tcPr>
            <w:tcW w:w="1132" w:type="dxa"/>
            <w:tcBorders>
              <w:top w:val="outset" w:sz="6" w:space="0" w:color="auto"/>
              <w:left w:val="outset" w:sz="6" w:space="0" w:color="auto"/>
              <w:bottom w:val="outset" w:sz="6" w:space="0" w:color="auto"/>
              <w:right w:val="outset" w:sz="6" w:space="0" w:color="auto"/>
            </w:tcBorders>
            <w:vAlign w:val="center"/>
            <w:hideMark/>
          </w:tcPr>
          <w:p w14:paraId="18630574" w14:textId="77777777" w:rsidR="00903835" w:rsidRPr="0019113B" w:rsidRDefault="00622CC8" w:rsidP="00622CC8">
            <w:r w:rsidRPr="0019113B">
              <w:t>-12,83</w:t>
            </w:r>
          </w:p>
        </w:tc>
      </w:tr>
      <w:tr w:rsidR="00622CC8" w:rsidRPr="0019113B" w14:paraId="488D315C" w14:textId="77777777" w:rsidTr="00622CC8">
        <w:trPr>
          <w:tblCellSpacing w:w="0" w:type="dxa"/>
        </w:trPr>
        <w:tc>
          <w:tcPr>
            <w:tcW w:w="4689" w:type="dxa"/>
            <w:tcBorders>
              <w:top w:val="outset" w:sz="6" w:space="0" w:color="auto"/>
              <w:left w:val="outset" w:sz="6" w:space="0" w:color="auto"/>
              <w:bottom w:val="outset" w:sz="6" w:space="0" w:color="auto"/>
              <w:right w:val="outset" w:sz="6" w:space="0" w:color="auto"/>
            </w:tcBorders>
            <w:vAlign w:val="center"/>
            <w:hideMark/>
          </w:tcPr>
          <w:p w14:paraId="68D0BF5C" w14:textId="77777777" w:rsidR="00903835" w:rsidRPr="0019113B" w:rsidRDefault="00622CC8" w:rsidP="00622CC8">
            <w:r w:rsidRPr="0019113B">
              <w:t>Доходы (убытки) по активам, находящимся во внешнем управлении, в том числе с учетом курсовой переоценки</w:t>
            </w:r>
          </w:p>
        </w:tc>
        <w:tc>
          <w:tcPr>
            <w:tcW w:w="1218" w:type="dxa"/>
            <w:tcBorders>
              <w:top w:val="outset" w:sz="6" w:space="0" w:color="auto"/>
              <w:left w:val="outset" w:sz="6" w:space="0" w:color="auto"/>
              <w:bottom w:val="outset" w:sz="6" w:space="0" w:color="auto"/>
              <w:right w:val="outset" w:sz="6" w:space="0" w:color="auto"/>
            </w:tcBorders>
            <w:vAlign w:val="center"/>
            <w:hideMark/>
          </w:tcPr>
          <w:p w14:paraId="2B4A1D57" w14:textId="77777777" w:rsidR="00903835" w:rsidRPr="0019113B" w:rsidRDefault="00622CC8" w:rsidP="00622CC8">
            <w:r w:rsidRPr="0019113B">
              <w:t>-141,86</w:t>
            </w:r>
          </w:p>
        </w:tc>
        <w:tc>
          <w:tcPr>
            <w:tcW w:w="1280" w:type="dxa"/>
            <w:tcBorders>
              <w:top w:val="outset" w:sz="6" w:space="0" w:color="auto"/>
              <w:left w:val="outset" w:sz="6" w:space="0" w:color="auto"/>
              <w:bottom w:val="outset" w:sz="6" w:space="0" w:color="auto"/>
              <w:right w:val="outset" w:sz="6" w:space="0" w:color="auto"/>
            </w:tcBorders>
            <w:vAlign w:val="center"/>
            <w:hideMark/>
          </w:tcPr>
          <w:p w14:paraId="5554622E" w14:textId="77777777" w:rsidR="00903835" w:rsidRPr="0019113B" w:rsidRDefault="00622CC8" w:rsidP="00622CC8">
            <w:r w:rsidRPr="0019113B">
              <w:t>-131,33</w:t>
            </w:r>
          </w:p>
        </w:tc>
        <w:tc>
          <w:tcPr>
            <w:tcW w:w="1132" w:type="dxa"/>
            <w:tcBorders>
              <w:top w:val="outset" w:sz="6" w:space="0" w:color="auto"/>
              <w:left w:val="outset" w:sz="6" w:space="0" w:color="auto"/>
              <w:bottom w:val="outset" w:sz="6" w:space="0" w:color="auto"/>
              <w:right w:val="outset" w:sz="6" w:space="0" w:color="auto"/>
            </w:tcBorders>
            <w:vAlign w:val="center"/>
            <w:hideMark/>
          </w:tcPr>
          <w:p w14:paraId="214754CE" w14:textId="77777777" w:rsidR="00903835" w:rsidRPr="0019113B" w:rsidRDefault="00622CC8" w:rsidP="00622CC8">
            <w:r w:rsidRPr="0019113B">
              <w:t>10,53</w:t>
            </w:r>
          </w:p>
        </w:tc>
      </w:tr>
      <w:tr w:rsidR="00622CC8" w:rsidRPr="0019113B" w14:paraId="137D8A14" w14:textId="77777777" w:rsidTr="00622CC8">
        <w:trPr>
          <w:tblCellSpacing w:w="0" w:type="dxa"/>
        </w:trPr>
        <w:tc>
          <w:tcPr>
            <w:tcW w:w="4689" w:type="dxa"/>
            <w:tcBorders>
              <w:top w:val="outset" w:sz="6" w:space="0" w:color="auto"/>
              <w:left w:val="outset" w:sz="6" w:space="0" w:color="auto"/>
              <w:bottom w:val="outset" w:sz="6" w:space="0" w:color="auto"/>
              <w:right w:val="outset" w:sz="6" w:space="0" w:color="auto"/>
            </w:tcBorders>
            <w:vAlign w:val="center"/>
            <w:hideMark/>
          </w:tcPr>
          <w:p w14:paraId="6BAB7E0C" w14:textId="77777777" w:rsidR="00903835" w:rsidRPr="0019113B" w:rsidRDefault="00622CC8" w:rsidP="00622CC8">
            <w:r w:rsidRPr="0019113B">
              <w:t>Прочие доходы (убытки)</w:t>
            </w:r>
          </w:p>
        </w:tc>
        <w:tc>
          <w:tcPr>
            <w:tcW w:w="1218" w:type="dxa"/>
            <w:tcBorders>
              <w:top w:val="outset" w:sz="6" w:space="0" w:color="auto"/>
              <w:left w:val="outset" w:sz="6" w:space="0" w:color="auto"/>
              <w:bottom w:val="outset" w:sz="6" w:space="0" w:color="auto"/>
              <w:right w:val="outset" w:sz="6" w:space="0" w:color="auto"/>
            </w:tcBorders>
            <w:vAlign w:val="center"/>
            <w:hideMark/>
          </w:tcPr>
          <w:p w14:paraId="2D0F7438" w14:textId="77777777" w:rsidR="00903835" w:rsidRPr="0019113B" w:rsidRDefault="00622CC8" w:rsidP="00622CC8">
            <w:r w:rsidRPr="0019113B">
              <w:t>4,32</w:t>
            </w:r>
          </w:p>
        </w:tc>
        <w:tc>
          <w:tcPr>
            <w:tcW w:w="1280" w:type="dxa"/>
            <w:tcBorders>
              <w:top w:val="outset" w:sz="6" w:space="0" w:color="auto"/>
              <w:left w:val="outset" w:sz="6" w:space="0" w:color="auto"/>
              <w:bottom w:val="outset" w:sz="6" w:space="0" w:color="auto"/>
              <w:right w:val="outset" w:sz="6" w:space="0" w:color="auto"/>
            </w:tcBorders>
            <w:vAlign w:val="center"/>
            <w:hideMark/>
          </w:tcPr>
          <w:p w14:paraId="44EA4483" w14:textId="77777777" w:rsidR="00903835" w:rsidRPr="0019113B" w:rsidRDefault="00622CC8" w:rsidP="00622CC8">
            <w:r w:rsidRPr="0019113B">
              <w:t>4,33</w:t>
            </w:r>
          </w:p>
        </w:tc>
        <w:tc>
          <w:tcPr>
            <w:tcW w:w="1132" w:type="dxa"/>
            <w:tcBorders>
              <w:top w:val="outset" w:sz="6" w:space="0" w:color="auto"/>
              <w:left w:val="outset" w:sz="6" w:space="0" w:color="auto"/>
              <w:bottom w:val="outset" w:sz="6" w:space="0" w:color="auto"/>
              <w:right w:val="outset" w:sz="6" w:space="0" w:color="auto"/>
            </w:tcBorders>
            <w:vAlign w:val="center"/>
            <w:hideMark/>
          </w:tcPr>
          <w:p w14:paraId="6A5329F5" w14:textId="77777777" w:rsidR="00903835" w:rsidRPr="0019113B" w:rsidRDefault="00622CC8" w:rsidP="00622CC8">
            <w:r w:rsidRPr="0019113B">
              <w:t>0,01</w:t>
            </w:r>
          </w:p>
        </w:tc>
      </w:tr>
      <w:tr w:rsidR="00622CC8" w:rsidRPr="0019113B" w14:paraId="57B73EC9" w14:textId="77777777" w:rsidTr="00622CC8">
        <w:trPr>
          <w:tblCellSpacing w:w="0" w:type="dxa"/>
        </w:trPr>
        <w:tc>
          <w:tcPr>
            <w:tcW w:w="4689" w:type="dxa"/>
            <w:tcBorders>
              <w:top w:val="outset" w:sz="6" w:space="0" w:color="auto"/>
              <w:left w:val="outset" w:sz="6" w:space="0" w:color="auto"/>
              <w:bottom w:val="outset" w:sz="6" w:space="0" w:color="auto"/>
              <w:right w:val="outset" w:sz="6" w:space="0" w:color="auto"/>
            </w:tcBorders>
            <w:vAlign w:val="center"/>
            <w:hideMark/>
          </w:tcPr>
          <w:p w14:paraId="5226CE39" w14:textId="77777777" w:rsidR="00903835" w:rsidRPr="0019113B" w:rsidRDefault="00622CC8" w:rsidP="00622CC8">
            <w:r w:rsidRPr="0019113B">
              <w:rPr>
                <w:bCs/>
              </w:rPr>
              <w:t>Итого</w:t>
            </w:r>
          </w:p>
        </w:tc>
        <w:tc>
          <w:tcPr>
            <w:tcW w:w="1218" w:type="dxa"/>
            <w:tcBorders>
              <w:top w:val="outset" w:sz="6" w:space="0" w:color="auto"/>
              <w:left w:val="outset" w:sz="6" w:space="0" w:color="auto"/>
              <w:bottom w:val="outset" w:sz="6" w:space="0" w:color="auto"/>
              <w:right w:val="outset" w:sz="6" w:space="0" w:color="auto"/>
            </w:tcBorders>
            <w:vAlign w:val="center"/>
            <w:hideMark/>
          </w:tcPr>
          <w:p w14:paraId="35C239F3" w14:textId="77777777" w:rsidR="00903835" w:rsidRPr="0019113B" w:rsidRDefault="00622CC8" w:rsidP="00622CC8">
            <w:r w:rsidRPr="0019113B">
              <w:rPr>
                <w:bCs/>
              </w:rPr>
              <w:t>-231,54</w:t>
            </w:r>
          </w:p>
        </w:tc>
        <w:tc>
          <w:tcPr>
            <w:tcW w:w="1280" w:type="dxa"/>
            <w:tcBorders>
              <w:top w:val="outset" w:sz="6" w:space="0" w:color="auto"/>
              <w:left w:val="outset" w:sz="6" w:space="0" w:color="auto"/>
              <w:bottom w:val="outset" w:sz="6" w:space="0" w:color="auto"/>
              <w:right w:val="outset" w:sz="6" w:space="0" w:color="auto"/>
            </w:tcBorders>
            <w:vAlign w:val="center"/>
            <w:hideMark/>
          </w:tcPr>
          <w:p w14:paraId="7735DF90" w14:textId="77777777" w:rsidR="00903835" w:rsidRPr="0019113B" w:rsidRDefault="00622CC8" w:rsidP="00622CC8">
            <w:r w:rsidRPr="0019113B">
              <w:rPr>
                <w:bCs/>
              </w:rPr>
              <w:t>-146,36</w:t>
            </w:r>
          </w:p>
        </w:tc>
        <w:tc>
          <w:tcPr>
            <w:tcW w:w="1132" w:type="dxa"/>
            <w:tcBorders>
              <w:top w:val="outset" w:sz="6" w:space="0" w:color="auto"/>
              <w:left w:val="outset" w:sz="6" w:space="0" w:color="auto"/>
              <w:bottom w:val="outset" w:sz="6" w:space="0" w:color="auto"/>
              <w:right w:val="outset" w:sz="6" w:space="0" w:color="auto"/>
            </w:tcBorders>
            <w:vAlign w:val="center"/>
            <w:hideMark/>
          </w:tcPr>
          <w:p w14:paraId="68CE91AB" w14:textId="77777777" w:rsidR="00903835" w:rsidRPr="0019113B" w:rsidRDefault="00622CC8" w:rsidP="00622CC8">
            <w:r w:rsidRPr="0019113B">
              <w:rPr>
                <w:bCs/>
              </w:rPr>
              <w:t>85,18</w:t>
            </w:r>
          </w:p>
        </w:tc>
      </w:tr>
    </w:tbl>
    <w:p w14:paraId="2BF093EA" w14:textId="77777777" w:rsidR="00622CC8" w:rsidRPr="0019113B" w:rsidRDefault="00622CC8" w:rsidP="00622CC8">
      <w:r w:rsidRPr="0019113B">
        <w:t>Источник: ЕНПФ, 2025 г.</w:t>
      </w:r>
    </w:p>
    <w:p w14:paraId="47674B41" w14:textId="77777777" w:rsidR="00622CC8" w:rsidRPr="0019113B" w:rsidRDefault="00622CC8" w:rsidP="00622CC8">
      <w:r w:rsidRPr="0019113B">
        <w:t>"На аукционах по размещению ГЦБ РК в мае наблюдалось повышение доходностей на ближнем и среднем сегменте кривой[доходности]. Инфляция ускорилась до 11,3% годовых (10,7% в апреле), при этом замедлилась в месячном выражении до 0,9% за май (1,2% в апреле). На аукционах по размещению ГЦБ РК предложение превысило спрос, при этом спрос был равномерно распределён по всем срокам обращения. Вместе с тем объем заимствования МФРК в мае увеличился на 16% по сравнению с апрелем и составил 744 млрд тенге", - говорится в пояснениях Нацбанка.</w:t>
      </w:r>
    </w:p>
    <w:p w14:paraId="60BECEE2" w14:textId="77777777" w:rsidR="00622CC8" w:rsidRPr="0019113B" w:rsidRDefault="00622CC8" w:rsidP="00622CC8">
      <w:r w:rsidRPr="0019113B">
        <w:t>Управляя основным портфелем ЕНПФ и столкнувшись с повышением ставок, Нацбанк получил от переоценки рекордные в этом году убытки в 664,7 млрд тенге (+73,12 млрд тенге за май). Это и привнесло наибольший негатив. В отсутствии существенных изменений цен на ГЦБ инвестдоход Нацбанка мог сложиться куда выше 85,2 млрд тенге. Кривая доходности по итогам мая приобрела более инвертированную  и волатильную форму, нежели в апреле.</w:t>
      </w:r>
    </w:p>
    <w:p w14:paraId="13139EE1" w14:textId="77777777" w:rsidR="00622CC8" w:rsidRPr="0019113B" w:rsidRDefault="00622CC8" w:rsidP="00622CC8">
      <w:r w:rsidRPr="0019113B">
        <w:t>Рост доходностей ГЦБ закономерно повлиял и на показатели других управляющих инвестпортфелем. Их результаты доходности несколько скорректировались вниз. Однако налицо более высокая доходность частных управляющих, нежели государственных.</w:t>
      </w:r>
    </w:p>
    <w:p w14:paraId="72C2CAFE" w14:textId="77777777" w:rsidR="00622CC8" w:rsidRPr="0019113B" w:rsidRDefault="00622CC8" w:rsidP="00622CC8">
      <w:r w:rsidRPr="0019113B">
        <w:t xml:space="preserve">Рейтинг управляющих инвестпортфелем по доходности на 1 июня 2025 г. (с начала года)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5"/>
        <w:gridCol w:w="1625"/>
        <w:gridCol w:w="1858"/>
        <w:gridCol w:w="2880"/>
      </w:tblGrid>
      <w:tr w:rsidR="00622CC8" w:rsidRPr="0019113B" w14:paraId="61E2A7E4" w14:textId="77777777" w:rsidTr="00622CC8">
        <w:trPr>
          <w:tblCellSpacing w:w="0" w:type="dxa"/>
        </w:trPr>
        <w:tc>
          <w:tcPr>
            <w:tcW w:w="1945" w:type="dxa"/>
            <w:tcBorders>
              <w:top w:val="outset" w:sz="6" w:space="0" w:color="auto"/>
              <w:left w:val="outset" w:sz="6" w:space="0" w:color="auto"/>
              <w:bottom w:val="outset" w:sz="6" w:space="0" w:color="auto"/>
              <w:right w:val="outset" w:sz="6" w:space="0" w:color="auto"/>
            </w:tcBorders>
            <w:vAlign w:val="center"/>
            <w:hideMark/>
          </w:tcPr>
          <w:p w14:paraId="35F26763" w14:textId="77777777" w:rsidR="00903835" w:rsidRPr="0019113B" w:rsidRDefault="00622CC8" w:rsidP="00622CC8">
            <w:r w:rsidRPr="0019113B">
              <w:rPr>
                <w:bCs/>
              </w:rPr>
              <w:t>Управляющий пенсионными</w:t>
            </w:r>
            <w:r w:rsidRPr="0019113B">
              <w:rPr>
                <w:bCs/>
              </w:rPr>
              <w:br/>
              <w:t>активами</w:t>
            </w:r>
          </w:p>
        </w:tc>
        <w:tc>
          <w:tcPr>
            <w:tcW w:w="1625" w:type="dxa"/>
            <w:tcBorders>
              <w:top w:val="outset" w:sz="6" w:space="0" w:color="auto"/>
              <w:left w:val="outset" w:sz="6" w:space="0" w:color="auto"/>
              <w:bottom w:val="outset" w:sz="6" w:space="0" w:color="auto"/>
              <w:right w:val="outset" w:sz="6" w:space="0" w:color="auto"/>
            </w:tcBorders>
            <w:vAlign w:val="center"/>
            <w:hideMark/>
          </w:tcPr>
          <w:p w14:paraId="2F751735" w14:textId="77777777" w:rsidR="00903835" w:rsidRPr="0019113B" w:rsidRDefault="00622CC8" w:rsidP="00622CC8">
            <w:r w:rsidRPr="0019113B">
              <w:rPr>
                <w:bCs/>
              </w:rPr>
              <w:t>Номинальная</w:t>
            </w:r>
            <w:r w:rsidRPr="0019113B">
              <w:rPr>
                <w:bCs/>
              </w:rPr>
              <w:br/>
              <w:t>доходность, в %</w:t>
            </w:r>
          </w:p>
        </w:tc>
        <w:tc>
          <w:tcPr>
            <w:tcW w:w="1858" w:type="dxa"/>
            <w:tcBorders>
              <w:top w:val="outset" w:sz="6" w:space="0" w:color="auto"/>
              <w:left w:val="outset" w:sz="6" w:space="0" w:color="auto"/>
              <w:bottom w:val="outset" w:sz="6" w:space="0" w:color="auto"/>
              <w:right w:val="outset" w:sz="6" w:space="0" w:color="auto"/>
            </w:tcBorders>
            <w:vAlign w:val="center"/>
            <w:hideMark/>
          </w:tcPr>
          <w:p w14:paraId="3A0828B7" w14:textId="77777777" w:rsidR="00903835" w:rsidRPr="0019113B" w:rsidRDefault="00622CC8" w:rsidP="00622CC8">
            <w:r w:rsidRPr="0019113B">
              <w:rPr>
                <w:bCs/>
              </w:rPr>
              <w:t>Реальная</w:t>
            </w:r>
            <w:r w:rsidRPr="0019113B">
              <w:rPr>
                <w:bCs/>
              </w:rPr>
              <w:br/>
              <w:t>доходность, в %</w:t>
            </w:r>
          </w:p>
        </w:tc>
        <w:tc>
          <w:tcPr>
            <w:tcW w:w="2880" w:type="dxa"/>
            <w:tcBorders>
              <w:top w:val="outset" w:sz="6" w:space="0" w:color="auto"/>
              <w:left w:val="outset" w:sz="6" w:space="0" w:color="auto"/>
              <w:bottom w:val="outset" w:sz="6" w:space="0" w:color="auto"/>
              <w:right w:val="outset" w:sz="6" w:space="0" w:color="auto"/>
            </w:tcBorders>
            <w:vAlign w:val="center"/>
            <w:hideMark/>
          </w:tcPr>
          <w:p w14:paraId="660ED3DD" w14:textId="77777777" w:rsidR="00903835" w:rsidRPr="0019113B" w:rsidRDefault="00622CC8" w:rsidP="00622CC8">
            <w:r w:rsidRPr="0019113B">
              <w:rPr>
                <w:bCs/>
              </w:rPr>
              <w:t>Объем средств в управлении (на 01.06.2025), в млрд тенге</w:t>
            </w:r>
          </w:p>
        </w:tc>
      </w:tr>
      <w:tr w:rsidR="00622CC8" w:rsidRPr="0019113B" w14:paraId="478159AF" w14:textId="77777777" w:rsidTr="00622CC8">
        <w:trPr>
          <w:tblCellSpacing w:w="0" w:type="dxa"/>
        </w:trPr>
        <w:tc>
          <w:tcPr>
            <w:tcW w:w="1945" w:type="dxa"/>
            <w:tcBorders>
              <w:top w:val="outset" w:sz="6" w:space="0" w:color="auto"/>
              <w:left w:val="outset" w:sz="6" w:space="0" w:color="auto"/>
              <w:bottom w:val="outset" w:sz="6" w:space="0" w:color="auto"/>
              <w:right w:val="outset" w:sz="6" w:space="0" w:color="auto"/>
            </w:tcBorders>
            <w:vAlign w:val="center"/>
            <w:hideMark/>
          </w:tcPr>
          <w:p w14:paraId="4F4FB12A" w14:textId="77777777" w:rsidR="00903835" w:rsidRPr="0019113B" w:rsidRDefault="00622CC8" w:rsidP="00622CC8">
            <w:r w:rsidRPr="0019113B">
              <w:t>CentrasSecurities</w:t>
            </w:r>
          </w:p>
        </w:tc>
        <w:tc>
          <w:tcPr>
            <w:tcW w:w="1625" w:type="dxa"/>
            <w:tcBorders>
              <w:top w:val="outset" w:sz="6" w:space="0" w:color="auto"/>
              <w:left w:val="outset" w:sz="6" w:space="0" w:color="auto"/>
              <w:bottom w:val="outset" w:sz="6" w:space="0" w:color="auto"/>
              <w:right w:val="outset" w:sz="6" w:space="0" w:color="auto"/>
            </w:tcBorders>
            <w:vAlign w:val="center"/>
            <w:hideMark/>
          </w:tcPr>
          <w:p w14:paraId="3F4C8235" w14:textId="77777777" w:rsidR="00903835" w:rsidRPr="0019113B" w:rsidRDefault="00622CC8" w:rsidP="00622CC8">
            <w:r w:rsidRPr="0019113B">
              <w:t>4,1</w:t>
            </w:r>
          </w:p>
        </w:tc>
        <w:tc>
          <w:tcPr>
            <w:tcW w:w="1858" w:type="dxa"/>
            <w:tcBorders>
              <w:top w:val="outset" w:sz="6" w:space="0" w:color="auto"/>
              <w:left w:val="outset" w:sz="6" w:space="0" w:color="auto"/>
              <w:bottom w:val="outset" w:sz="6" w:space="0" w:color="auto"/>
              <w:right w:val="outset" w:sz="6" w:space="0" w:color="auto"/>
            </w:tcBorders>
            <w:vAlign w:val="center"/>
            <w:hideMark/>
          </w:tcPr>
          <w:p w14:paraId="752BFEF2" w14:textId="77777777" w:rsidR="00903835" w:rsidRPr="0019113B" w:rsidRDefault="00622CC8" w:rsidP="00622CC8">
            <w:r w:rsidRPr="0019113B">
              <w:t>-1.9</w:t>
            </w:r>
          </w:p>
        </w:tc>
        <w:tc>
          <w:tcPr>
            <w:tcW w:w="2880" w:type="dxa"/>
            <w:tcBorders>
              <w:top w:val="outset" w:sz="6" w:space="0" w:color="auto"/>
              <w:left w:val="outset" w:sz="6" w:space="0" w:color="auto"/>
              <w:bottom w:val="outset" w:sz="6" w:space="0" w:color="auto"/>
              <w:right w:val="outset" w:sz="6" w:space="0" w:color="auto"/>
            </w:tcBorders>
            <w:vAlign w:val="center"/>
            <w:hideMark/>
          </w:tcPr>
          <w:p w14:paraId="33E085FF" w14:textId="77777777" w:rsidR="00903835" w:rsidRPr="0019113B" w:rsidRDefault="00622CC8" w:rsidP="00622CC8">
            <w:r w:rsidRPr="0019113B">
              <w:t>2.4</w:t>
            </w:r>
          </w:p>
        </w:tc>
      </w:tr>
      <w:tr w:rsidR="00622CC8" w:rsidRPr="0019113B" w14:paraId="65199CAE" w14:textId="77777777" w:rsidTr="00622CC8">
        <w:trPr>
          <w:tblCellSpacing w:w="0" w:type="dxa"/>
        </w:trPr>
        <w:tc>
          <w:tcPr>
            <w:tcW w:w="1945" w:type="dxa"/>
            <w:tcBorders>
              <w:top w:val="outset" w:sz="6" w:space="0" w:color="auto"/>
              <w:left w:val="outset" w:sz="6" w:space="0" w:color="auto"/>
              <w:bottom w:val="outset" w:sz="6" w:space="0" w:color="auto"/>
              <w:right w:val="outset" w:sz="6" w:space="0" w:color="auto"/>
            </w:tcBorders>
            <w:vAlign w:val="center"/>
            <w:hideMark/>
          </w:tcPr>
          <w:p w14:paraId="485A6471" w14:textId="77777777" w:rsidR="00903835" w:rsidRPr="0019113B" w:rsidRDefault="00622CC8" w:rsidP="00622CC8">
            <w:r w:rsidRPr="0019113B">
              <w:t>BCC Invest</w:t>
            </w:r>
          </w:p>
        </w:tc>
        <w:tc>
          <w:tcPr>
            <w:tcW w:w="1625" w:type="dxa"/>
            <w:tcBorders>
              <w:top w:val="outset" w:sz="6" w:space="0" w:color="auto"/>
              <w:left w:val="outset" w:sz="6" w:space="0" w:color="auto"/>
              <w:bottom w:val="outset" w:sz="6" w:space="0" w:color="auto"/>
              <w:right w:val="outset" w:sz="6" w:space="0" w:color="auto"/>
            </w:tcBorders>
            <w:vAlign w:val="center"/>
            <w:hideMark/>
          </w:tcPr>
          <w:p w14:paraId="4ECC2309" w14:textId="77777777" w:rsidR="00903835" w:rsidRPr="0019113B" w:rsidRDefault="00622CC8" w:rsidP="00622CC8">
            <w:r w:rsidRPr="0019113B">
              <w:t>2,85</w:t>
            </w:r>
          </w:p>
        </w:tc>
        <w:tc>
          <w:tcPr>
            <w:tcW w:w="1858" w:type="dxa"/>
            <w:tcBorders>
              <w:top w:val="outset" w:sz="6" w:space="0" w:color="auto"/>
              <w:left w:val="outset" w:sz="6" w:space="0" w:color="auto"/>
              <w:bottom w:val="outset" w:sz="6" w:space="0" w:color="auto"/>
              <w:right w:val="outset" w:sz="6" w:space="0" w:color="auto"/>
            </w:tcBorders>
            <w:vAlign w:val="center"/>
            <w:hideMark/>
          </w:tcPr>
          <w:p w14:paraId="0868DDE6" w14:textId="77777777" w:rsidR="00903835" w:rsidRPr="0019113B" w:rsidRDefault="00622CC8" w:rsidP="00622CC8">
            <w:r w:rsidRPr="0019113B">
              <w:t>-3.15</w:t>
            </w:r>
          </w:p>
        </w:tc>
        <w:tc>
          <w:tcPr>
            <w:tcW w:w="2880" w:type="dxa"/>
            <w:tcBorders>
              <w:top w:val="outset" w:sz="6" w:space="0" w:color="auto"/>
              <w:left w:val="outset" w:sz="6" w:space="0" w:color="auto"/>
              <w:bottom w:val="outset" w:sz="6" w:space="0" w:color="auto"/>
              <w:right w:val="outset" w:sz="6" w:space="0" w:color="auto"/>
            </w:tcBorders>
            <w:vAlign w:val="center"/>
            <w:hideMark/>
          </w:tcPr>
          <w:p w14:paraId="3A157AED" w14:textId="77777777" w:rsidR="00903835" w:rsidRPr="0019113B" w:rsidRDefault="00622CC8" w:rsidP="00622CC8">
            <w:r w:rsidRPr="0019113B">
              <w:t>6.32</w:t>
            </w:r>
          </w:p>
        </w:tc>
      </w:tr>
      <w:tr w:rsidR="00622CC8" w:rsidRPr="0019113B" w14:paraId="29D1CB1C" w14:textId="77777777" w:rsidTr="00622CC8">
        <w:trPr>
          <w:tblCellSpacing w:w="0" w:type="dxa"/>
        </w:trPr>
        <w:tc>
          <w:tcPr>
            <w:tcW w:w="1945" w:type="dxa"/>
            <w:tcBorders>
              <w:top w:val="outset" w:sz="6" w:space="0" w:color="auto"/>
              <w:left w:val="outset" w:sz="6" w:space="0" w:color="auto"/>
              <w:bottom w:val="outset" w:sz="6" w:space="0" w:color="auto"/>
              <w:right w:val="outset" w:sz="6" w:space="0" w:color="auto"/>
            </w:tcBorders>
            <w:vAlign w:val="center"/>
            <w:hideMark/>
          </w:tcPr>
          <w:p w14:paraId="229C9D19" w14:textId="77777777" w:rsidR="00903835" w:rsidRPr="0019113B" w:rsidRDefault="00622CC8" w:rsidP="00622CC8">
            <w:r w:rsidRPr="0019113B">
              <w:t>Halyk Global</w:t>
            </w:r>
          </w:p>
        </w:tc>
        <w:tc>
          <w:tcPr>
            <w:tcW w:w="1625" w:type="dxa"/>
            <w:tcBorders>
              <w:top w:val="outset" w:sz="6" w:space="0" w:color="auto"/>
              <w:left w:val="outset" w:sz="6" w:space="0" w:color="auto"/>
              <w:bottom w:val="outset" w:sz="6" w:space="0" w:color="auto"/>
              <w:right w:val="outset" w:sz="6" w:space="0" w:color="auto"/>
            </w:tcBorders>
            <w:vAlign w:val="center"/>
            <w:hideMark/>
          </w:tcPr>
          <w:p w14:paraId="6D439269" w14:textId="77777777" w:rsidR="00903835" w:rsidRPr="0019113B" w:rsidRDefault="00622CC8" w:rsidP="00622CC8">
            <w:r w:rsidRPr="0019113B">
              <w:t>1,49</w:t>
            </w:r>
          </w:p>
        </w:tc>
        <w:tc>
          <w:tcPr>
            <w:tcW w:w="1858" w:type="dxa"/>
            <w:tcBorders>
              <w:top w:val="outset" w:sz="6" w:space="0" w:color="auto"/>
              <w:left w:val="outset" w:sz="6" w:space="0" w:color="auto"/>
              <w:bottom w:val="outset" w:sz="6" w:space="0" w:color="auto"/>
              <w:right w:val="outset" w:sz="6" w:space="0" w:color="auto"/>
            </w:tcBorders>
            <w:vAlign w:val="center"/>
            <w:hideMark/>
          </w:tcPr>
          <w:p w14:paraId="5454A72D" w14:textId="77777777" w:rsidR="00903835" w:rsidRPr="0019113B" w:rsidRDefault="00622CC8" w:rsidP="00622CC8">
            <w:r w:rsidRPr="0019113B">
              <w:t>-4.51</w:t>
            </w:r>
          </w:p>
        </w:tc>
        <w:tc>
          <w:tcPr>
            <w:tcW w:w="2880" w:type="dxa"/>
            <w:tcBorders>
              <w:top w:val="outset" w:sz="6" w:space="0" w:color="auto"/>
              <w:left w:val="outset" w:sz="6" w:space="0" w:color="auto"/>
              <w:bottom w:val="outset" w:sz="6" w:space="0" w:color="auto"/>
              <w:right w:val="outset" w:sz="6" w:space="0" w:color="auto"/>
            </w:tcBorders>
            <w:vAlign w:val="center"/>
            <w:hideMark/>
          </w:tcPr>
          <w:p w14:paraId="4E9E4BE1" w14:textId="77777777" w:rsidR="00903835" w:rsidRPr="0019113B" w:rsidRDefault="00622CC8" w:rsidP="00622CC8">
            <w:r w:rsidRPr="0019113B">
              <w:t>5.36</w:t>
            </w:r>
          </w:p>
        </w:tc>
      </w:tr>
      <w:tr w:rsidR="00622CC8" w:rsidRPr="0019113B" w14:paraId="5D35AA00" w14:textId="77777777" w:rsidTr="00622CC8">
        <w:trPr>
          <w:tblCellSpacing w:w="0" w:type="dxa"/>
        </w:trPr>
        <w:tc>
          <w:tcPr>
            <w:tcW w:w="1945" w:type="dxa"/>
            <w:tcBorders>
              <w:top w:val="outset" w:sz="6" w:space="0" w:color="auto"/>
              <w:left w:val="outset" w:sz="6" w:space="0" w:color="auto"/>
              <w:bottom w:val="outset" w:sz="6" w:space="0" w:color="auto"/>
              <w:right w:val="outset" w:sz="6" w:space="0" w:color="auto"/>
            </w:tcBorders>
            <w:vAlign w:val="center"/>
            <w:hideMark/>
          </w:tcPr>
          <w:p w14:paraId="7069B8E0" w14:textId="77777777" w:rsidR="00903835" w:rsidRPr="0019113B" w:rsidRDefault="00622CC8" w:rsidP="00622CC8">
            <w:r w:rsidRPr="0019113B">
              <w:t>JusanInvest</w:t>
            </w:r>
          </w:p>
        </w:tc>
        <w:tc>
          <w:tcPr>
            <w:tcW w:w="1625" w:type="dxa"/>
            <w:tcBorders>
              <w:top w:val="outset" w:sz="6" w:space="0" w:color="auto"/>
              <w:left w:val="outset" w:sz="6" w:space="0" w:color="auto"/>
              <w:bottom w:val="outset" w:sz="6" w:space="0" w:color="auto"/>
              <w:right w:val="outset" w:sz="6" w:space="0" w:color="auto"/>
            </w:tcBorders>
            <w:vAlign w:val="center"/>
            <w:hideMark/>
          </w:tcPr>
          <w:p w14:paraId="22E66310" w14:textId="77777777" w:rsidR="00903835" w:rsidRPr="0019113B" w:rsidRDefault="00622CC8" w:rsidP="00622CC8">
            <w:r w:rsidRPr="0019113B">
              <w:t>1,35</w:t>
            </w:r>
          </w:p>
        </w:tc>
        <w:tc>
          <w:tcPr>
            <w:tcW w:w="1858" w:type="dxa"/>
            <w:tcBorders>
              <w:top w:val="outset" w:sz="6" w:space="0" w:color="auto"/>
              <w:left w:val="outset" w:sz="6" w:space="0" w:color="auto"/>
              <w:bottom w:val="outset" w:sz="6" w:space="0" w:color="auto"/>
              <w:right w:val="outset" w:sz="6" w:space="0" w:color="auto"/>
            </w:tcBorders>
            <w:vAlign w:val="center"/>
            <w:hideMark/>
          </w:tcPr>
          <w:p w14:paraId="7B730FAF" w14:textId="77777777" w:rsidR="00903835" w:rsidRPr="0019113B" w:rsidRDefault="00622CC8" w:rsidP="00622CC8">
            <w:r w:rsidRPr="0019113B">
              <w:t>-4.65</w:t>
            </w:r>
          </w:p>
        </w:tc>
        <w:tc>
          <w:tcPr>
            <w:tcW w:w="2880" w:type="dxa"/>
            <w:tcBorders>
              <w:top w:val="outset" w:sz="6" w:space="0" w:color="auto"/>
              <w:left w:val="outset" w:sz="6" w:space="0" w:color="auto"/>
              <w:bottom w:val="outset" w:sz="6" w:space="0" w:color="auto"/>
              <w:right w:val="outset" w:sz="6" w:space="0" w:color="auto"/>
            </w:tcBorders>
            <w:vAlign w:val="center"/>
            <w:hideMark/>
          </w:tcPr>
          <w:p w14:paraId="082DB998" w14:textId="77777777" w:rsidR="00903835" w:rsidRPr="0019113B" w:rsidRDefault="00622CC8" w:rsidP="00622CC8">
            <w:r w:rsidRPr="0019113B">
              <w:t>11.78</w:t>
            </w:r>
          </w:p>
        </w:tc>
      </w:tr>
      <w:tr w:rsidR="00622CC8" w:rsidRPr="0019113B" w14:paraId="21FFC1AB" w14:textId="77777777" w:rsidTr="00622CC8">
        <w:trPr>
          <w:tblCellSpacing w:w="0" w:type="dxa"/>
        </w:trPr>
        <w:tc>
          <w:tcPr>
            <w:tcW w:w="1945" w:type="dxa"/>
            <w:tcBorders>
              <w:top w:val="outset" w:sz="6" w:space="0" w:color="auto"/>
              <w:left w:val="outset" w:sz="6" w:space="0" w:color="auto"/>
              <w:bottom w:val="outset" w:sz="6" w:space="0" w:color="auto"/>
              <w:right w:val="outset" w:sz="6" w:space="0" w:color="auto"/>
            </w:tcBorders>
            <w:vAlign w:val="center"/>
            <w:hideMark/>
          </w:tcPr>
          <w:p w14:paraId="6EC79B2A" w14:textId="77777777" w:rsidR="00903835" w:rsidRPr="0019113B" w:rsidRDefault="00622CC8" w:rsidP="00622CC8">
            <w:r w:rsidRPr="0019113B">
              <w:lastRenderedPageBreak/>
              <w:t>HalykFinance</w:t>
            </w:r>
          </w:p>
        </w:tc>
        <w:tc>
          <w:tcPr>
            <w:tcW w:w="1625" w:type="dxa"/>
            <w:tcBorders>
              <w:top w:val="outset" w:sz="6" w:space="0" w:color="auto"/>
              <w:left w:val="outset" w:sz="6" w:space="0" w:color="auto"/>
              <w:bottom w:val="outset" w:sz="6" w:space="0" w:color="auto"/>
              <w:right w:val="outset" w:sz="6" w:space="0" w:color="auto"/>
            </w:tcBorders>
            <w:vAlign w:val="center"/>
            <w:hideMark/>
          </w:tcPr>
          <w:p w14:paraId="7A9879F0" w14:textId="77777777" w:rsidR="00903835" w:rsidRPr="0019113B" w:rsidRDefault="00622CC8" w:rsidP="00622CC8">
            <w:r w:rsidRPr="0019113B">
              <w:t>0,66</w:t>
            </w:r>
          </w:p>
        </w:tc>
        <w:tc>
          <w:tcPr>
            <w:tcW w:w="1858" w:type="dxa"/>
            <w:tcBorders>
              <w:top w:val="outset" w:sz="6" w:space="0" w:color="auto"/>
              <w:left w:val="outset" w:sz="6" w:space="0" w:color="auto"/>
              <w:bottom w:val="outset" w:sz="6" w:space="0" w:color="auto"/>
              <w:right w:val="outset" w:sz="6" w:space="0" w:color="auto"/>
            </w:tcBorders>
            <w:vAlign w:val="center"/>
            <w:hideMark/>
          </w:tcPr>
          <w:p w14:paraId="468AEABE" w14:textId="77777777" w:rsidR="00903835" w:rsidRPr="0019113B" w:rsidRDefault="00622CC8" w:rsidP="00622CC8">
            <w:r w:rsidRPr="0019113B">
              <w:t>-5.34</w:t>
            </w:r>
          </w:p>
        </w:tc>
        <w:tc>
          <w:tcPr>
            <w:tcW w:w="2880" w:type="dxa"/>
            <w:tcBorders>
              <w:top w:val="outset" w:sz="6" w:space="0" w:color="auto"/>
              <w:left w:val="outset" w:sz="6" w:space="0" w:color="auto"/>
              <w:bottom w:val="outset" w:sz="6" w:space="0" w:color="auto"/>
              <w:right w:val="outset" w:sz="6" w:space="0" w:color="auto"/>
            </w:tcBorders>
            <w:vAlign w:val="center"/>
            <w:hideMark/>
          </w:tcPr>
          <w:p w14:paraId="5A5C4CEB" w14:textId="77777777" w:rsidR="00903835" w:rsidRPr="0019113B" w:rsidRDefault="00622CC8" w:rsidP="00622CC8">
            <w:r w:rsidRPr="0019113B">
              <w:t>36.35</w:t>
            </w:r>
          </w:p>
        </w:tc>
      </w:tr>
      <w:tr w:rsidR="00622CC8" w:rsidRPr="0019113B" w14:paraId="1C91253D" w14:textId="77777777" w:rsidTr="00622CC8">
        <w:trPr>
          <w:tblCellSpacing w:w="0" w:type="dxa"/>
        </w:trPr>
        <w:tc>
          <w:tcPr>
            <w:tcW w:w="1945" w:type="dxa"/>
            <w:tcBorders>
              <w:top w:val="outset" w:sz="6" w:space="0" w:color="auto"/>
              <w:left w:val="outset" w:sz="6" w:space="0" w:color="auto"/>
              <w:bottom w:val="outset" w:sz="6" w:space="0" w:color="auto"/>
              <w:right w:val="outset" w:sz="6" w:space="0" w:color="auto"/>
            </w:tcBorders>
            <w:vAlign w:val="center"/>
            <w:hideMark/>
          </w:tcPr>
          <w:p w14:paraId="6BB57EFB" w14:textId="77777777" w:rsidR="00903835" w:rsidRPr="0019113B" w:rsidRDefault="00622CC8" w:rsidP="00622CC8">
            <w:r w:rsidRPr="0019113B">
              <w:t>Нацбанк РК (ОПВ/ДПВ)</w:t>
            </w:r>
          </w:p>
        </w:tc>
        <w:tc>
          <w:tcPr>
            <w:tcW w:w="1625" w:type="dxa"/>
            <w:tcBorders>
              <w:top w:val="outset" w:sz="6" w:space="0" w:color="auto"/>
              <w:left w:val="outset" w:sz="6" w:space="0" w:color="auto"/>
              <w:bottom w:val="outset" w:sz="6" w:space="0" w:color="auto"/>
              <w:right w:val="outset" w:sz="6" w:space="0" w:color="auto"/>
            </w:tcBorders>
            <w:vAlign w:val="center"/>
            <w:hideMark/>
          </w:tcPr>
          <w:p w14:paraId="2CD5566D" w14:textId="77777777" w:rsidR="00903835" w:rsidRPr="0019113B" w:rsidRDefault="00622CC8" w:rsidP="00622CC8">
            <w:r w:rsidRPr="0019113B">
              <w:t>-0,69</w:t>
            </w:r>
          </w:p>
        </w:tc>
        <w:tc>
          <w:tcPr>
            <w:tcW w:w="1858" w:type="dxa"/>
            <w:tcBorders>
              <w:top w:val="outset" w:sz="6" w:space="0" w:color="auto"/>
              <w:left w:val="outset" w:sz="6" w:space="0" w:color="auto"/>
              <w:bottom w:val="outset" w:sz="6" w:space="0" w:color="auto"/>
              <w:right w:val="outset" w:sz="6" w:space="0" w:color="auto"/>
            </w:tcBorders>
            <w:vAlign w:val="center"/>
            <w:hideMark/>
          </w:tcPr>
          <w:p w14:paraId="0F61552A" w14:textId="77777777" w:rsidR="00903835" w:rsidRPr="0019113B" w:rsidRDefault="00622CC8" w:rsidP="00622CC8">
            <w:r w:rsidRPr="0019113B">
              <w:t>-6.69</w:t>
            </w:r>
          </w:p>
        </w:tc>
        <w:tc>
          <w:tcPr>
            <w:tcW w:w="2880" w:type="dxa"/>
            <w:tcBorders>
              <w:top w:val="outset" w:sz="6" w:space="0" w:color="auto"/>
              <w:left w:val="outset" w:sz="6" w:space="0" w:color="auto"/>
              <w:bottom w:val="outset" w:sz="6" w:space="0" w:color="auto"/>
              <w:right w:val="outset" w:sz="6" w:space="0" w:color="auto"/>
            </w:tcBorders>
            <w:vAlign w:val="center"/>
            <w:hideMark/>
          </w:tcPr>
          <w:p w14:paraId="240CDD43" w14:textId="77777777" w:rsidR="00903835" w:rsidRPr="0019113B" w:rsidRDefault="00622CC8" w:rsidP="00622CC8">
            <w:r w:rsidRPr="0019113B">
              <w:t>22 834</w:t>
            </w:r>
          </w:p>
        </w:tc>
      </w:tr>
      <w:tr w:rsidR="00622CC8" w:rsidRPr="0019113B" w14:paraId="55DCDC82" w14:textId="77777777" w:rsidTr="00622CC8">
        <w:trPr>
          <w:tblCellSpacing w:w="0" w:type="dxa"/>
        </w:trPr>
        <w:tc>
          <w:tcPr>
            <w:tcW w:w="1945" w:type="dxa"/>
            <w:tcBorders>
              <w:top w:val="outset" w:sz="6" w:space="0" w:color="auto"/>
              <w:left w:val="outset" w:sz="6" w:space="0" w:color="auto"/>
              <w:bottom w:val="outset" w:sz="6" w:space="0" w:color="auto"/>
              <w:right w:val="outset" w:sz="6" w:space="0" w:color="auto"/>
            </w:tcBorders>
            <w:vAlign w:val="center"/>
            <w:hideMark/>
          </w:tcPr>
          <w:p w14:paraId="074E5D18" w14:textId="77777777" w:rsidR="00903835" w:rsidRPr="0019113B" w:rsidRDefault="00622CC8" w:rsidP="00622CC8">
            <w:r w:rsidRPr="0019113B">
              <w:t>Нацбанк РК (ОПВР)</w:t>
            </w:r>
          </w:p>
        </w:tc>
        <w:tc>
          <w:tcPr>
            <w:tcW w:w="1625" w:type="dxa"/>
            <w:tcBorders>
              <w:top w:val="outset" w:sz="6" w:space="0" w:color="auto"/>
              <w:left w:val="outset" w:sz="6" w:space="0" w:color="auto"/>
              <w:bottom w:val="outset" w:sz="6" w:space="0" w:color="auto"/>
              <w:right w:val="outset" w:sz="6" w:space="0" w:color="auto"/>
            </w:tcBorders>
            <w:vAlign w:val="center"/>
            <w:hideMark/>
          </w:tcPr>
          <w:p w14:paraId="64562394" w14:textId="77777777" w:rsidR="00903835" w:rsidRPr="0019113B" w:rsidRDefault="00622CC8" w:rsidP="00622CC8">
            <w:r w:rsidRPr="0019113B">
              <w:t>-4,5</w:t>
            </w:r>
          </w:p>
        </w:tc>
        <w:tc>
          <w:tcPr>
            <w:tcW w:w="1858" w:type="dxa"/>
            <w:tcBorders>
              <w:top w:val="outset" w:sz="6" w:space="0" w:color="auto"/>
              <w:left w:val="outset" w:sz="6" w:space="0" w:color="auto"/>
              <w:bottom w:val="outset" w:sz="6" w:space="0" w:color="auto"/>
              <w:right w:val="outset" w:sz="6" w:space="0" w:color="auto"/>
            </w:tcBorders>
            <w:vAlign w:val="center"/>
            <w:hideMark/>
          </w:tcPr>
          <w:p w14:paraId="579FD801" w14:textId="77777777" w:rsidR="00903835" w:rsidRPr="0019113B" w:rsidRDefault="00622CC8" w:rsidP="00622CC8">
            <w:r w:rsidRPr="0019113B">
              <w:t>-10.5</w:t>
            </w:r>
          </w:p>
        </w:tc>
        <w:tc>
          <w:tcPr>
            <w:tcW w:w="2880" w:type="dxa"/>
            <w:tcBorders>
              <w:top w:val="outset" w:sz="6" w:space="0" w:color="auto"/>
              <w:left w:val="outset" w:sz="6" w:space="0" w:color="auto"/>
              <w:bottom w:val="outset" w:sz="6" w:space="0" w:color="auto"/>
              <w:right w:val="outset" w:sz="6" w:space="0" w:color="auto"/>
            </w:tcBorders>
            <w:vAlign w:val="center"/>
            <w:hideMark/>
          </w:tcPr>
          <w:p w14:paraId="2A2E8624" w14:textId="77777777" w:rsidR="00903835" w:rsidRPr="0019113B" w:rsidRDefault="00622CC8" w:rsidP="00622CC8">
            <w:r w:rsidRPr="0019113B">
              <w:t>417.28</w:t>
            </w:r>
          </w:p>
        </w:tc>
      </w:tr>
    </w:tbl>
    <w:p w14:paraId="1504415E" w14:textId="77777777" w:rsidR="00622CC8" w:rsidRPr="0019113B" w:rsidRDefault="00622CC8" w:rsidP="00622CC8">
      <w:r w:rsidRPr="0019113B">
        <w:t>Источник: АО ЕНПФ, 2025г.</w:t>
      </w:r>
    </w:p>
    <w:p w14:paraId="5F4C7A54" w14:textId="77777777" w:rsidR="00622CC8" w:rsidRPr="0019113B" w:rsidRDefault="00622CC8" w:rsidP="00622CC8">
      <w:r w:rsidRPr="0019113B">
        <w:t>Другой немаловажной тенденцией стал рост валютных активов в портфелях УИП. Особенно хорошо это видно с начала текущего года. Лидеры по доходности активов, имевшие наименьшие показатели валютных активов, стали активно наращивать долю долларовых инструментов.</w:t>
      </w:r>
    </w:p>
    <w:p w14:paraId="13FDD7CA" w14:textId="77777777" w:rsidR="00622CC8" w:rsidRPr="0019113B" w:rsidRDefault="00622CC8" w:rsidP="00622CC8">
      <w:r w:rsidRPr="0019113B">
        <w:t>Динамика изменения доли валютных инструментов в инвестпортфеле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5"/>
        <w:gridCol w:w="1625"/>
        <w:gridCol w:w="1858"/>
      </w:tblGrid>
      <w:tr w:rsidR="00622CC8" w:rsidRPr="0019113B" w14:paraId="74433385" w14:textId="77777777" w:rsidTr="00622CC8">
        <w:trPr>
          <w:tblCellSpacing w:w="0" w:type="dxa"/>
        </w:trPr>
        <w:tc>
          <w:tcPr>
            <w:tcW w:w="1945" w:type="dxa"/>
            <w:tcBorders>
              <w:top w:val="outset" w:sz="6" w:space="0" w:color="auto"/>
              <w:left w:val="outset" w:sz="6" w:space="0" w:color="auto"/>
              <w:bottom w:val="outset" w:sz="6" w:space="0" w:color="auto"/>
              <w:right w:val="outset" w:sz="6" w:space="0" w:color="auto"/>
            </w:tcBorders>
            <w:vAlign w:val="center"/>
            <w:hideMark/>
          </w:tcPr>
          <w:p w14:paraId="0C4C09BF" w14:textId="77777777" w:rsidR="00903835" w:rsidRPr="0019113B" w:rsidRDefault="00622CC8" w:rsidP="00622CC8">
            <w:r w:rsidRPr="0019113B">
              <w:rPr>
                <w:bCs/>
              </w:rPr>
              <w:t>Управляющий пенсионными</w:t>
            </w:r>
            <w:r w:rsidRPr="0019113B">
              <w:rPr>
                <w:bCs/>
              </w:rPr>
              <w:br/>
              <w:t>активами</w:t>
            </w:r>
          </w:p>
        </w:tc>
        <w:tc>
          <w:tcPr>
            <w:tcW w:w="1625" w:type="dxa"/>
            <w:tcBorders>
              <w:top w:val="outset" w:sz="6" w:space="0" w:color="auto"/>
              <w:left w:val="outset" w:sz="6" w:space="0" w:color="auto"/>
              <w:bottom w:val="outset" w:sz="6" w:space="0" w:color="auto"/>
              <w:right w:val="outset" w:sz="6" w:space="0" w:color="auto"/>
            </w:tcBorders>
            <w:vAlign w:val="center"/>
            <w:hideMark/>
          </w:tcPr>
          <w:p w14:paraId="5C1EA20D" w14:textId="77777777" w:rsidR="00903835" w:rsidRPr="0019113B" w:rsidRDefault="00622CC8" w:rsidP="00622CC8">
            <w:r w:rsidRPr="0019113B">
              <w:rPr>
                <w:bCs/>
              </w:rPr>
              <w:t>На 01.01.2025</w:t>
            </w:r>
          </w:p>
        </w:tc>
        <w:tc>
          <w:tcPr>
            <w:tcW w:w="1858" w:type="dxa"/>
            <w:tcBorders>
              <w:top w:val="outset" w:sz="6" w:space="0" w:color="auto"/>
              <w:left w:val="outset" w:sz="6" w:space="0" w:color="auto"/>
              <w:bottom w:val="outset" w:sz="6" w:space="0" w:color="auto"/>
              <w:right w:val="outset" w:sz="6" w:space="0" w:color="auto"/>
            </w:tcBorders>
            <w:vAlign w:val="center"/>
            <w:hideMark/>
          </w:tcPr>
          <w:p w14:paraId="1E3BB95F" w14:textId="77777777" w:rsidR="00903835" w:rsidRPr="0019113B" w:rsidRDefault="00622CC8" w:rsidP="00622CC8">
            <w:r w:rsidRPr="0019113B">
              <w:rPr>
                <w:bCs/>
              </w:rPr>
              <w:t>На 01.06.2025</w:t>
            </w:r>
          </w:p>
        </w:tc>
      </w:tr>
      <w:tr w:rsidR="00622CC8" w:rsidRPr="0019113B" w14:paraId="6B0A81D5" w14:textId="77777777" w:rsidTr="00622CC8">
        <w:trPr>
          <w:tblCellSpacing w:w="0" w:type="dxa"/>
        </w:trPr>
        <w:tc>
          <w:tcPr>
            <w:tcW w:w="1945" w:type="dxa"/>
            <w:tcBorders>
              <w:top w:val="outset" w:sz="6" w:space="0" w:color="auto"/>
              <w:left w:val="outset" w:sz="6" w:space="0" w:color="auto"/>
              <w:bottom w:val="outset" w:sz="6" w:space="0" w:color="auto"/>
              <w:right w:val="outset" w:sz="6" w:space="0" w:color="auto"/>
            </w:tcBorders>
            <w:vAlign w:val="center"/>
            <w:hideMark/>
          </w:tcPr>
          <w:p w14:paraId="511C767E" w14:textId="77777777" w:rsidR="00903835" w:rsidRPr="0019113B" w:rsidRDefault="00622CC8" w:rsidP="00622CC8">
            <w:r w:rsidRPr="0019113B">
              <w:t>CentrasSecurities</w:t>
            </w:r>
          </w:p>
        </w:tc>
        <w:tc>
          <w:tcPr>
            <w:tcW w:w="1625" w:type="dxa"/>
            <w:tcBorders>
              <w:top w:val="outset" w:sz="6" w:space="0" w:color="auto"/>
              <w:left w:val="outset" w:sz="6" w:space="0" w:color="auto"/>
              <w:bottom w:val="outset" w:sz="6" w:space="0" w:color="auto"/>
              <w:right w:val="outset" w:sz="6" w:space="0" w:color="auto"/>
            </w:tcBorders>
            <w:vAlign w:val="center"/>
            <w:hideMark/>
          </w:tcPr>
          <w:p w14:paraId="4BFA9F4E" w14:textId="77777777" w:rsidR="00903835" w:rsidRPr="0019113B" w:rsidRDefault="00622CC8" w:rsidP="00622CC8">
            <w:r w:rsidRPr="0019113B">
              <w:t>21,2%</w:t>
            </w:r>
          </w:p>
        </w:tc>
        <w:tc>
          <w:tcPr>
            <w:tcW w:w="1858" w:type="dxa"/>
            <w:tcBorders>
              <w:top w:val="outset" w:sz="6" w:space="0" w:color="auto"/>
              <w:left w:val="outset" w:sz="6" w:space="0" w:color="auto"/>
              <w:bottom w:val="outset" w:sz="6" w:space="0" w:color="auto"/>
              <w:right w:val="outset" w:sz="6" w:space="0" w:color="auto"/>
            </w:tcBorders>
            <w:vAlign w:val="center"/>
            <w:hideMark/>
          </w:tcPr>
          <w:p w14:paraId="68BE63E0" w14:textId="77777777" w:rsidR="00903835" w:rsidRPr="0019113B" w:rsidRDefault="00622CC8" w:rsidP="00622CC8">
            <w:r w:rsidRPr="0019113B">
              <w:t>32,35%</w:t>
            </w:r>
          </w:p>
        </w:tc>
      </w:tr>
      <w:tr w:rsidR="00622CC8" w:rsidRPr="0019113B" w14:paraId="28D5A451" w14:textId="77777777" w:rsidTr="00622CC8">
        <w:trPr>
          <w:tblCellSpacing w:w="0" w:type="dxa"/>
        </w:trPr>
        <w:tc>
          <w:tcPr>
            <w:tcW w:w="1945" w:type="dxa"/>
            <w:tcBorders>
              <w:top w:val="outset" w:sz="6" w:space="0" w:color="auto"/>
              <w:left w:val="outset" w:sz="6" w:space="0" w:color="auto"/>
              <w:bottom w:val="outset" w:sz="6" w:space="0" w:color="auto"/>
              <w:right w:val="outset" w:sz="6" w:space="0" w:color="auto"/>
            </w:tcBorders>
            <w:vAlign w:val="center"/>
            <w:hideMark/>
          </w:tcPr>
          <w:p w14:paraId="0D23B315" w14:textId="77777777" w:rsidR="00903835" w:rsidRPr="0019113B" w:rsidRDefault="00622CC8" w:rsidP="00622CC8">
            <w:r w:rsidRPr="0019113B">
              <w:t>BCC Invest</w:t>
            </w:r>
          </w:p>
        </w:tc>
        <w:tc>
          <w:tcPr>
            <w:tcW w:w="1625" w:type="dxa"/>
            <w:tcBorders>
              <w:top w:val="outset" w:sz="6" w:space="0" w:color="auto"/>
              <w:left w:val="outset" w:sz="6" w:space="0" w:color="auto"/>
              <w:bottom w:val="outset" w:sz="6" w:space="0" w:color="auto"/>
              <w:right w:val="outset" w:sz="6" w:space="0" w:color="auto"/>
            </w:tcBorders>
            <w:vAlign w:val="center"/>
            <w:hideMark/>
          </w:tcPr>
          <w:p w14:paraId="2D99D2EB" w14:textId="77777777" w:rsidR="00903835" w:rsidRPr="0019113B" w:rsidRDefault="00622CC8" w:rsidP="00622CC8">
            <w:r w:rsidRPr="0019113B">
              <w:t>17,21%</w:t>
            </w:r>
          </w:p>
        </w:tc>
        <w:tc>
          <w:tcPr>
            <w:tcW w:w="1858" w:type="dxa"/>
            <w:tcBorders>
              <w:top w:val="outset" w:sz="6" w:space="0" w:color="auto"/>
              <w:left w:val="outset" w:sz="6" w:space="0" w:color="auto"/>
              <w:bottom w:val="outset" w:sz="6" w:space="0" w:color="auto"/>
              <w:right w:val="outset" w:sz="6" w:space="0" w:color="auto"/>
            </w:tcBorders>
            <w:vAlign w:val="center"/>
            <w:hideMark/>
          </w:tcPr>
          <w:p w14:paraId="013D543F" w14:textId="77777777" w:rsidR="00903835" w:rsidRPr="0019113B" w:rsidRDefault="00622CC8" w:rsidP="00622CC8">
            <w:r w:rsidRPr="0019113B">
              <w:t>25,73%</w:t>
            </w:r>
          </w:p>
        </w:tc>
      </w:tr>
      <w:tr w:rsidR="00622CC8" w:rsidRPr="0019113B" w14:paraId="18EB3DE1" w14:textId="77777777" w:rsidTr="00622CC8">
        <w:trPr>
          <w:tblCellSpacing w:w="0" w:type="dxa"/>
        </w:trPr>
        <w:tc>
          <w:tcPr>
            <w:tcW w:w="1945" w:type="dxa"/>
            <w:tcBorders>
              <w:top w:val="outset" w:sz="6" w:space="0" w:color="auto"/>
              <w:left w:val="outset" w:sz="6" w:space="0" w:color="auto"/>
              <w:bottom w:val="outset" w:sz="6" w:space="0" w:color="auto"/>
              <w:right w:val="outset" w:sz="6" w:space="0" w:color="auto"/>
            </w:tcBorders>
            <w:vAlign w:val="center"/>
            <w:hideMark/>
          </w:tcPr>
          <w:p w14:paraId="270D9072" w14:textId="77777777" w:rsidR="00903835" w:rsidRPr="0019113B" w:rsidRDefault="00622CC8" w:rsidP="00622CC8">
            <w:r w:rsidRPr="0019113B">
              <w:t>Halyk Global</w:t>
            </w:r>
          </w:p>
        </w:tc>
        <w:tc>
          <w:tcPr>
            <w:tcW w:w="1625" w:type="dxa"/>
            <w:tcBorders>
              <w:top w:val="outset" w:sz="6" w:space="0" w:color="auto"/>
              <w:left w:val="outset" w:sz="6" w:space="0" w:color="auto"/>
              <w:bottom w:val="outset" w:sz="6" w:space="0" w:color="auto"/>
              <w:right w:val="outset" w:sz="6" w:space="0" w:color="auto"/>
            </w:tcBorders>
            <w:vAlign w:val="center"/>
            <w:hideMark/>
          </w:tcPr>
          <w:p w14:paraId="4E6B1C4C" w14:textId="77777777" w:rsidR="00903835" w:rsidRPr="0019113B" w:rsidRDefault="00622CC8" w:rsidP="00622CC8">
            <w:r w:rsidRPr="0019113B">
              <w:t>20,28%</w:t>
            </w:r>
          </w:p>
        </w:tc>
        <w:tc>
          <w:tcPr>
            <w:tcW w:w="1858" w:type="dxa"/>
            <w:tcBorders>
              <w:top w:val="outset" w:sz="6" w:space="0" w:color="auto"/>
              <w:left w:val="outset" w:sz="6" w:space="0" w:color="auto"/>
              <w:bottom w:val="outset" w:sz="6" w:space="0" w:color="auto"/>
              <w:right w:val="outset" w:sz="6" w:space="0" w:color="auto"/>
            </w:tcBorders>
            <w:vAlign w:val="center"/>
            <w:hideMark/>
          </w:tcPr>
          <w:p w14:paraId="7E297E9D" w14:textId="77777777" w:rsidR="00903835" w:rsidRPr="0019113B" w:rsidRDefault="00622CC8" w:rsidP="00622CC8">
            <w:r w:rsidRPr="0019113B">
              <w:t>30,29%</w:t>
            </w:r>
          </w:p>
        </w:tc>
      </w:tr>
      <w:tr w:rsidR="00622CC8" w:rsidRPr="0019113B" w14:paraId="5A6E1242" w14:textId="77777777" w:rsidTr="00622CC8">
        <w:trPr>
          <w:tblCellSpacing w:w="0" w:type="dxa"/>
        </w:trPr>
        <w:tc>
          <w:tcPr>
            <w:tcW w:w="1945" w:type="dxa"/>
            <w:tcBorders>
              <w:top w:val="outset" w:sz="6" w:space="0" w:color="auto"/>
              <w:left w:val="outset" w:sz="6" w:space="0" w:color="auto"/>
              <w:bottom w:val="outset" w:sz="6" w:space="0" w:color="auto"/>
              <w:right w:val="outset" w:sz="6" w:space="0" w:color="auto"/>
            </w:tcBorders>
            <w:vAlign w:val="center"/>
            <w:hideMark/>
          </w:tcPr>
          <w:p w14:paraId="13B1A97F" w14:textId="77777777" w:rsidR="00903835" w:rsidRPr="0019113B" w:rsidRDefault="00622CC8" w:rsidP="00622CC8">
            <w:r w:rsidRPr="0019113B">
              <w:t>JusanInvest</w:t>
            </w:r>
          </w:p>
        </w:tc>
        <w:tc>
          <w:tcPr>
            <w:tcW w:w="1625" w:type="dxa"/>
            <w:tcBorders>
              <w:top w:val="outset" w:sz="6" w:space="0" w:color="auto"/>
              <w:left w:val="outset" w:sz="6" w:space="0" w:color="auto"/>
              <w:bottom w:val="outset" w:sz="6" w:space="0" w:color="auto"/>
              <w:right w:val="outset" w:sz="6" w:space="0" w:color="auto"/>
            </w:tcBorders>
            <w:vAlign w:val="center"/>
            <w:hideMark/>
          </w:tcPr>
          <w:p w14:paraId="21C02EED" w14:textId="77777777" w:rsidR="00903835" w:rsidRPr="0019113B" w:rsidRDefault="00622CC8" w:rsidP="00622CC8">
            <w:r w:rsidRPr="0019113B">
              <w:t>29%</w:t>
            </w:r>
          </w:p>
        </w:tc>
        <w:tc>
          <w:tcPr>
            <w:tcW w:w="1858" w:type="dxa"/>
            <w:tcBorders>
              <w:top w:val="outset" w:sz="6" w:space="0" w:color="auto"/>
              <w:left w:val="outset" w:sz="6" w:space="0" w:color="auto"/>
              <w:bottom w:val="outset" w:sz="6" w:space="0" w:color="auto"/>
              <w:right w:val="outset" w:sz="6" w:space="0" w:color="auto"/>
            </w:tcBorders>
            <w:vAlign w:val="center"/>
            <w:hideMark/>
          </w:tcPr>
          <w:p w14:paraId="64D50001" w14:textId="77777777" w:rsidR="00903835" w:rsidRPr="0019113B" w:rsidRDefault="00622CC8" w:rsidP="00622CC8">
            <w:r w:rsidRPr="0019113B">
              <w:t>31,9%</w:t>
            </w:r>
          </w:p>
        </w:tc>
      </w:tr>
      <w:tr w:rsidR="00622CC8" w:rsidRPr="0019113B" w14:paraId="74222513" w14:textId="77777777" w:rsidTr="00622CC8">
        <w:trPr>
          <w:tblCellSpacing w:w="0" w:type="dxa"/>
        </w:trPr>
        <w:tc>
          <w:tcPr>
            <w:tcW w:w="1945" w:type="dxa"/>
            <w:tcBorders>
              <w:top w:val="outset" w:sz="6" w:space="0" w:color="auto"/>
              <w:left w:val="outset" w:sz="6" w:space="0" w:color="auto"/>
              <w:bottom w:val="outset" w:sz="6" w:space="0" w:color="auto"/>
              <w:right w:val="outset" w:sz="6" w:space="0" w:color="auto"/>
            </w:tcBorders>
            <w:vAlign w:val="center"/>
            <w:hideMark/>
          </w:tcPr>
          <w:p w14:paraId="4BBF5D65" w14:textId="77777777" w:rsidR="00903835" w:rsidRPr="0019113B" w:rsidRDefault="00622CC8" w:rsidP="00622CC8">
            <w:r w:rsidRPr="0019113B">
              <w:t>HalykFinance</w:t>
            </w:r>
          </w:p>
        </w:tc>
        <w:tc>
          <w:tcPr>
            <w:tcW w:w="1625" w:type="dxa"/>
            <w:tcBorders>
              <w:top w:val="outset" w:sz="6" w:space="0" w:color="auto"/>
              <w:left w:val="outset" w:sz="6" w:space="0" w:color="auto"/>
              <w:bottom w:val="outset" w:sz="6" w:space="0" w:color="auto"/>
              <w:right w:val="outset" w:sz="6" w:space="0" w:color="auto"/>
            </w:tcBorders>
            <w:vAlign w:val="center"/>
            <w:hideMark/>
          </w:tcPr>
          <w:p w14:paraId="076EC95B" w14:textId="77777777" w:rsidR="00903835" w:rsidRPr="0019113B" w:rsidRDefault="00622CC8" w:rsidP="00622CC8">
            <w:r w:rsidRPr="0019113B">
              <w:t>35%</w:t>
            </w:r>
          </w:p>
        </w:tc>
        <w:tc>
          <w:tcPr>
            <w:tcW w:w="1858" w:type="dxa"/>
            <w:tcBorders>
              <w:top w:val="outset" w:sz="6" w:space="0" w:color="auto"/>
              <w:left w:val="outset" w:sz="6" w:space="0" w:color="auto"/>
              <w:bottom w:val="outset" w:sz="6" w:space="0" w:color="auto"/>
              <w:right w:val="outset" w:sz="6" w:space="0" w:color="auto"/>
            </w:tcBorders>
            <w:vAlign w:val="center"/>
            <w:hideMark/>
          </w:tcPr>
          <w:p w14:paraId="402F5D7C" w14:textId="77777777" w:rsidR="00903835" w:rsidRPr="0019113B" w:rsidRDefault="00622CC8" w:rsidP="00622CC8">
            <w:r w:rsidRPr="0019113B">
              <w:t>41,6%</w:t>
            </w:r>
          </w:p>
        </w:tc>
      </w:tr>
      <w:tr w:rsidR="00622CC8" w:rsidRPr="0019113B" w14:paraId="5933844B" w14:textId="77777777" w:rsidTr="00622CC8">
        <w:trPr>
          <w:tblCellSpacing w:w="0" w:type="dxa"/>
        </w:trPr>
        <w:tc>
          <w:tcPr>
            <w:tcW w:w="1945" w:type="dxa"/>
            <w:tcBorders>
              <w:top w:val="outset" w:sz="6" w:space="0" w:color="auto"/>
              <w:left w:val="outset" w:sz="6" w:space="0" w:color="auto"/>
              <w:bottom w:val="outset" w:sz="6" w:space="0" w:color="auto"/>
              <w:right w:val="outset" w:sz="6" w:space="0" w:color="auto"/>
            </w:tcBorders>
            <w:vAlign w:val="center"/>
            <w:hideMark/>
          </w:tcPr>
          <w:p w14:paraId="5CF55199" w14:textId="77777777" w:rsidR="00903835" w:rsidRPr="0019113B" w:rsidRDefault="00622CC8" w:rsidP="00622CC8">
            <w:r w:rsidRPr="0019113B">
              <w:t>Нацбанк РК (ОПВ/ДПВ)</w:t>
            </w:r>
          </w:p>
        </w:tc>
        <w:tc>
          <w:tcPr>
            <w:tcW w:w="1625" w:type="dxa"/>
            <w:tcBorders>
              <w:top w:val="outset" w:sz="6" w:space="0" w:color="auto"/>
              <w:left w:val="outset" w:sz="6" w:space="0" w:color="auto"/>
              <w:bottom w:val="outset" w:sz="6" w:space="0" w:color="auto"/>
              <w:right w:val="outset" w:sz="6" w:space="0" w:color="auto"/>
            </w:tcBorders>
            <w:vAlign w:val="center"/>
            <w:hideMark/>
          </w:tcPr>
          <w:p w14:paraId="4A48329F" w14:textId="77777777" w:rsidR="00903835" w:rsidRPr="0019113B" w:rsidRDefault="00622CC8" w:rsidP="00622CC8">
            <w:r w:rsidRPr="0019113B">
              <w:t>40,21%</w:t>
            </w:r>
          </w:p>
        </w:tc>
        <w:tc>
          <w:tcPr>
            <w:tcW w:w="1858" w:type="dxa"/>
            <w:tcBorders>
              <w:top w:val="outset" w:sz="6" w:space="0" w:color="auto"/>
              <w:left w:val="outset" w:sz="6" w:space="0" w:color="auto"/>
              <w:bottom w:val="outset" w:sz="6" w:space="0" w:color="auto"/>
              <w:right w:val="outset" w:sz="6" w:space="0" w:color="auto"/>
            </w:tcBorders>
            <w:vAlign w:val="center"/>
            <w:hideMark/>
          </w:tcPr>
          <w:p w14:paraId="4ECAE802" w14:textId="77777777" w:rsidR="00903835" w:rsidRPr="0019113B" w:rsidRDefault="00622CC8" w:rsidP="00622CC8">
            <w:r w:rsidRPr="0019113B">
              <w:t>40,63%</w:t>
            </w:r>
          </w:p>
        </w:tc>
      </w:tr>
      <w:tr w:rsidR="00622CC8" w:rsidRPr="0019113B" w14:paraId="59A1E316" w14:textId="77777777" w:rsidTr="00622CC8">
        <w:trPr>
          <w:tblCellSpacing w:w="0" w:type="dxa"/>
        </w:trPr>
        <w:tc>
          <w:tcPr>
            <w:tcW w:w="1945" w:type="dxa"/>
            <w:tcBorders>
              <w:top w:val="outset" w:sz="6" w:space="0" w:color="auto"/>
              <w:left w:val="outset" w:sz="6" w:space="0" w:color="auto"/>
              <w:bottom w:val="outset" w:sz="6" w:space="0" w:color="auto"/>
              <w:right w:val="outset" w:sz="6" w:space="0" w:color="auto"/>
            </w:tcBorders>
            <w:vAlign w:val="center"/>
            <w:hideMark/>
          </w:tcPr>
          <w:p w14:paraId="28671CD8" w14:textId="77777777" w:rsidR="00903835" w:rsidRPr="0019113B" w:rsidRDefault="00622CC8" w:rsidP="00622CC8">
            <w:r w:rsidRPr="0019113B">
              <w:t>Нацбанк РК (ОПВР)</w:t>
            </w:r>
          </w:p>
        </w:tc>
        <w:tc>
          <w:tcPr>
            <w:tcW w:w="1625" w:type="dxa"/>
            <w:tcBorders>
              <w:top w:val="outset" w:sz="6" w:space="0" w:color="auto"/>
              <w:left w:val="outset" w:sz="6" w:space="0" w:color="auto"/>
              <w:bottom w:val="outset" w:sz="6" w:space="0" w:color="auto"/>
              <w:right w:val="outset" w:sz="6" w:space="0" w:color="auto"/>
            </w:tcBorders>
            <w:vAlign w:val="center"/>
            <w:hideMark/>
          </w:tcPr>
          <w:p w14:paraId="16CA5E04" w14:textId="77777777" w:rsidR="00903835" w:rsidRPr="0019113B" w:rsidRDefault="00622CC8" w:rsidP="00622CC8">
            <w:r w:rsidRPr="0019113B">
              <w:t>0</w:t>
            </w:r>
          </w:p>
        </w:tc>
        <w:tc>
          <w:tcPr>
            <w:tcW w:w="1858" w:type="dxa"/>
            <w:tcBorders>
              <w:top w:val="outset" w:sz="6" w:space="0" w:color="auto"/>
              <w:left w:val="outset" w:sz="6" w:space="0" w:color="auto"/>
              <w:bottom w:val="outset" w:sz="6" w:space="0" w:color="auto"/>
              <w:right w:val="outset" w:sz="6" w:space="0" w:color="auto"/>
            </w:tcBorders>
            <w:vAlign w:val="center"/>
            <w:hideMark/>
          </w:tcPr>
          <w:p w14:paraId="6C85873B" w14:textId="77777777" w:rsidR="00903835" w:rsidRPr="0019113B" w:rsidRDefault="00622CC8" w:rsidP="00622CC8">
            <w:r w:rsidRPr="0019113B">
              <w:t>0</w:t>
            </w:r>
          </w:p>
        </w:tc>
      </w:tr>
    </w:tbl>
    <w:p w14:paraId="32919830" w14:textId="77777777" w:rsidR="00622CC8" w:rsidRPr="0019113B" w:rsidRDefault="00622CC8" w:rsidP="00622CC8">
      <w:r w:rsidRPr="0019113B">
        <w:t>Источник: АО ЕНПФ, 2025г.</w:t>
      </w:r>
    </w:p>
    <w:p w14:paraId="16883112" w14:textId="77777777" w:rsidR="00622CC8" w:rsidRPr="0019113B" w:rsidRDefault="00622CC8" w:rsidP="00622CC8">
      <w:r w:rsidRPr="0019113B">
        <w:t>Объективности ради стоит добавить, что показатели доходности пенсионных активов следует оценивать на долгосрочном отрезке, тогда как краткосрочные колебания стоимости ценных бумаг и валютных курсов не всегда адекватно отражают эффективность. При таком ракурсе сохраняется преимущество в доходности у частных управляющих.</w:t>
      </w:r>
    </w:p>
    <w:p w14:paraId="01CF4BE5" w14:textId="77777777" w:rsidR="00622CC8" w:rsidRPr="0019113B" w:rsidRDefault="00622CC8" w:rsidP="00622CC8">
      <w:r w:rsidRPr="0019113B">
        <w:t>Рейтинг управляющих инвестпортфелем по доходности за последний год</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5"/>
        <w:gridCol w:w="1625"/>
        <w:gridCol w:w="1858"/>
      </w:tblGrid>
      <w:tr w:rsidR="00622CC8" w:rsidRPr="0019113B" w14:paraId="568CFBC1" w14:textId="77777777" w:rsidTr="00622CC8">
        <w:trPr>
          <w:tblCellSpacing w:w="0" w:type="dxa"/>
          <w:jc w:val="center"/>
        </w:trPr>
        <w:tc>
          <w:tcPr>
            <w:tcW w:w="1945" w:type="dxa"/>
            <w:tcBorders>
              <w:top w:val="outset" w:sz="6" w:space="0" w:color="auto"/>
              <w:left w:val="outset" w:sz="6" w:space="0" w:color="auto"/>
              <w:bottom w:val="outset" w:sz="6" w:space="0" w:color="auto"/>
              <w:right w:val="outset" w:sz="6" w:space="0" w:color="auto"/>
            </w:tcBorders>
            <w:vAlign w:val="center"/>
            <w:hideMark/>
          </w:tcPr>
          <w:p w14:paraId="089F4731" w14:textId="77777777" w:rsidR="00903835" w:rsidRPr="0019113B" w:rsidRDefault="00622CC8" w:rsidP="00622CC8">
            <w:r w:rsidRPr="0019113B">
              <w:rPr>
                <w:bCs/>
              </w:rPr>
              <w:t>Управляющий пенсионными</w:t>
            </w:r>
            <w:r w:rsidRPr="0019113B">
              <w:rPr>
                <w:bCs/>
              </w:rPr>
              <w:br/>
              <w:t>активами</w:t>
            </w:r>
          </w:p>
        </w:tc>
        <w:tc>
          <w:tcPr>
            <w:tcW w:w="1625" w:type="dxa"/>
            <w:tcBorders>
              <w:top w:val="outset" w:sz="6" w:space="0" w:color="auto"/>
              <w:left w:val="outset" w:sz="6" w:space="0" w:color="auto"/>
              <w:bottom w:val="outset" w:sz="6" w:space="0" w:color="auto"/>
              <w:right w:val="outset" w:sz="6" w:space="0" w:color="auto"/>
            </w:tcBorders>
            <w:vAlign w:val="center"/>
            <w:hideMark/>
          </w:tcPr>
          <w:p w14:paraId="617AE2B7" w14:textId="77777777" w:rsidR="00903835" w:rsidRPr="0019113B" w:rsidRDefault="00622CC8" w:rsidP="00622CC8">
            <w:r w:rsidRPr="0019113B">
              <w:rPr>
                <w:bCs/>
              </w:rPr>
              <w:t>Номинальная</w:t>
            </w:r>
            <w:r w:rsidRPr="0019113B">
              <w:rPr>
                <w:bCs/>
              </w:rPr>
              <w:br/>
              <w:t>доходность, в %</w:t>
            </w:r>
          </w:p>
        </w:tc>
        <w:tc>
          <w:tcPr>
            <w:tcW w:w="1858" w:type="dxa"/>
            <w:tcBorders>
              <w:top w:val="outset" w:sz="6" w:space="0" w:color="auto"/>
              <w:left w:val="outset" w:sz="6" w:space="0" w:color="auto"/>
              <w:bottom w:val="outset" w:sz="6" w:space="0" w:color="auto"/>
              <w:right w:val="outset" w:sz="6" w:space="0" w:color="auto"/>
            </w:tcBorders>
            <w:vAlign w:val="center"/>
            <w:hideMark/>
          </w:tcPr>
          <w:p w14:paraId="425874FE" w14:textId="77777777" w:rsidR="00903835" w:rsidRPr="0019113B" w:rsidRDefault="00622CC8" w:rsidP="00622CC8">
            <w:r w:rsidRPr="0019113B">
              <w:rPr>
                <w:bCs/>
              </w:rPr>
              <w:t>Реальная</w:t>
            </w:r>
            <w:r w:rsidRPr="0019113B">
              <w:rPr>
                <w:bCs/>
              </w:rPr>
              <w:br/>
              <w:t>доходность, в %</w:t>
            </w:r>
          </w:p>
        </w:tc>
      </w:tr>
      <w:tr w:rsidR="00622CC8" w:rsidRPr="0019113B" w14:paraId="3C5C620C" w14:textId="77777777" w:rsidTr="00622CC8">
        <w:trPr>
          <w:tblCellSpacing w:w="0" w:type="dxa"/>
          <w:jc w:val="center"/>
        </w:trPr>
        <w:tc>
          <w:tcPr>
            <w:tcW w:w="1945" w:type="dxa"/>
            <w:tcBorders>
              <w:top w:val="outset" w:sz="6" w:space="0" w:color="auto"/>
              <w:left w:val="outset" w:sz="6" w:space="0" w:color="auto"/>
              <w:bottom w:val="outset" w:sz="6" w:space="0" w:color="auto"/>
              <w:right w:val="outset" w:sz="6" w:space="0" w:color="auto"/>
            </w:tcBorders>
            <w:vAlign w:val="center"/>
            <w:hideMark/>
          </w:tcPr>
          <w:p w14:paraId="79A2FFE3" w14:textId="77777777" w:rsidR="00903835" w:rsidRPr="0019113B" w:rsidRDefault="00622CC8" w:rsidP="00622CC8">
            <w:r w:rsidRPr="0019113B">
              <w:t>CentrasSecurities</w:t>
            </w:r>
          </w:p>
        </w:tc>
        <w:tc>
          <w:tcPr>
            <w:tcW w:w="1625" w:type="dxa"/>
            <w:tcBorders>
              <w:top w:val="outset" w:sz="6" w:space="0" w:color="auto"/>
              <w:left w:val="outset" w:sz="6" w:space="0" w:color="auto"/>
              <w:bottom w:val="outset" w:sz="6" w:space="0" w:color="auto"/>
              <w:right w:val="outset" w:sz="6" w:space="0" w:color="auto"/>
            </w:tcBorders>
            <w:vAlign w:val="center"/>
            <w:hideMark/>
          </w:tcPr>
          <w:p w14:paraId="7D3FB36D" w14:textId="77777777" w:rsidR="00903835" w:rsidRPr="0019113B" w:rsidRDefault="00622CC8" w:rsidP="00622CC8">
            <w:r w:rsidRPr="0019113B">
              <w:t>15,58</w:t>
            </w:r>
          </w:p>
        </w:tc>
        <w:tc>
          <w:tcPr>
            <w:tcW w:w="1858" w:type="dxa"/>
            <w:tcBorders>
              <w:top w:val="outset" w:sz="6" w:space="0" w:color="auto"/>
              <w:left w:val="outset" w:sz="6" w:space="0" w:color="auto"/>
              <w:bottom w:val="outset" w:sz="6" w:space="0" w:color="auto"/>
              <w:right w:val="outset" w:sz="6" w:space="0" w:color="auto"/>
            </w:tcBorders>
            <w:vAlign w:val="center"/>
            <w:hideMark/>
          </w:tcPr>
          <w:p w14:paraId="0FD3687E" w14:textId="77777777" w:rsidR="00903835" w:rsidRPr="0019113B" w:rsidRDefault="00622CC8" w:rsidP="00622CC8">
            <w:r w:rsidRPr="0019113B">
              <w:t>4,28</w:t>
            </w:r>
          </w:p>
        </w:tc>
      </w:tr>
      <w:tr w:rsidR="00622CC8" w:rsidRPr="0019113B" w14:paraId="01770791" w14:textId="77777777" w:rsidTr="00622CC8">
        <w:trPr>
          <w:tblCellSpacing w:w="0" w:type="dxa"/>
          <w:jc w:val="center"/>
        </w:trPr>
        <w:tc>
          <w:tcPr>
            <w:tcW w:w="1945" w:type="dxa"/>
            <w:tcBorders>
              <w:top w:val="outset" w:sz="6" w:space="0" w:color="auto"/>
              <w:left w:val="outset" w:sz="6" w:space="0" w:color="auto"/>
              <w:bottom w:val="outset" w:sz="6" w:space="0" w:color="auto"/>
              <w:right w:val="outset" w:sz="6" w:space="0" w:color="auto"/>
            </w:tcBorders>
            <w:vAlign w:val="center"/>
            <w:hideMark/>
          </w:tcPr>
          <w:p w14:paraId="3F2A29A5" w14:textId="77777777" w:rsidR="00903835" w:rsidRPr="0019113B" w:rsidRDefault="00622CC8" w:rsidP="00622CC8">
            <w:r w:rsidRPr="0019113B">
              <w:t>HalykFinance</w:t>
            </w:r>
          </w:p>
        </w:tc>
        <w:tc>
          <w:tcPr>
            <w:tcW w:w="1625" w:type="dxa"/>
            <w:tcBorders>
              <w:top w:val="outset" w:sz="6" w:space="0" w:color="auto"/>
              <w:left w:val="outset" w:sz="6" w:space="0" w:color="auto"/>
              <w:bottom w:val="outset" w:sz="6" w:space="0" w:color="auto"/>
              <w:right w:val="outset" w:sz="6" w:space="0" w:color="auto"/>
            </w:tcBorders>
            <w:vAlign w:val="center"/>
            <w:hideMark/>
          </w:tcPr>
          <w:p w14:paraId="4F8C7D20" w14:textId="77777777" w:rsidR="00903835" w:rsidRPr="0019113B" w:rsidRDefault="00622CC8" w:rsidP="00622CC8">
            <w:r w:rsidRPr="0019113B">
              <w:t>15,06</w:t>
            </w:r>
          </w:p>
        </w:tc>
        <w:tc>
          <w:tcPr>
            <w:tcW w:w="1858" w:type="dxa"/>
            <w:tcBorders>
              <w:top w:val="outset" w:sz="6" w:space="0" w:color="auto"/>
              <w:left w:val="outset" w:sz="6" w:space="0" w:color="auto"/>
              <w:bottom w:val="outset" w:sz="6" w:space="0" w:color="auto"/>
              <w:right w:val="outset" w:sz="6" w:space="0" w:color="auto"/>
            </w:tcBorders>
            <w:vAlign w:val="center"/>
            <w:hideMark/>
          </w:tcPr>
          <w:p w14:paraId="5BA91AD3" w14:textId="77777777" w:rsidR="00903835" w:rsidRPr="0019113B" w:rsidRDefault="00622CC8" w:rsidP="00622CC8">
            <w:r w:rsidRPr="0019113B">
              <w:t>3,76</w:t>
            </w:r>
          </w:p>
        </w:tc>
      </w:tr>
      <w:tr w:rsidR="00622CC8" w:rsidRPr="0019113B" w14:paraId="1700A8F4" w14:textId="77777777" w:rsidTr="00622CC8">
        <w:trPr>
          <w:tblCellSpacing w:w="0" w:type="dxa"/>
          <w:jc w:val="center"/>
        </w:trPr>
        <w:tc>
          <w:tcPr>
            <w:tcW w:w="1945" w:type="dxa"/>
            <w:tcBorders>
              <w:top w:val="outset" w:sz="6" w:space="0" w:color="auto"/>
              <w:left w:val="outset" w:sz="6" w:space="0" w:color="auto"/>
              <w:bottom w:val="outset" w:sz="6" w:space="0" w:color="auto"/>
              <w:right w:val="outset" w:sz="6" w:space="0" w:color="auto"/>
            </w:tcBorders>
            <w:vAlign w:val="center"/>
            <w:hideMark/>
          </w:tcPr>
          <w:p w14:paraId="4E6A0344" w14:textId="77777777" w:rsidR="00903835" w:rsidRPr="0019113B" w:rsidRDefault="00622CC8" w:rsidP="00622CC8">
            <w:r w:rsidRPr="0019113B">
              <w:t>Halyk Global</w:t>
            </w:r>
          </w:p>
        </w:tc>
        <w:tc>
          <w:tcPr>
            <w:tcW w:w="1625" w:type="dxa"/>
            <w:tcBorders>
              <w:top w:val="outset" w:sz="6" w:space="0" w:color="auto"/>
              <w:left w:val="outset" w:sz="6" w:space="0" w:color="auto"/>
              <w:bottom w:val="outset" w:sz="6" w:space="0" w:color="auto"/>
              <w:right w:val="outset" w:sz="6" w:space="0" w:color="auto"/>
            </w:tcBorders>
            <w:vAlign w:val="center"/>
            <w:hideMark/>
          </w:tcPr>
          <w:p w14:paraId="540C2D62" w14:textId="77777777" w:rsidR="00903835" w:rsidRPr="0019113B" w:rsidRDefault="00622CC8" w:rsidP="00622CC8">
            <w:r w:rsidRPr="0019113B">
              <w:t>14,85</w:t>
            </w:r>
          </w:p>
        </w:tc>
        <w:tc>
          <w:tcPr>
            <w:tcW w:w="1858" w:type="dxa"/>
            <w:tcBorders>
              <w:top w:val="outset" w:sz="6" w:space="0" w:color="auto"/>
              <w:left w:val="outset" w:sz="6" w:space="0" w:color="auto"/>
              <w:bottom w:val="outset" w:sz="6" w:space="0" w:color="auto"/>
              <w:right w:val="outset" w:sz="6" w:space="0" w:color="auto"/>
            </w:tcBorders>
            <w:vAlign w:val="center"/>
            <w:hideMark/>
          </w:tcPr>
          <w:p w14:paraId="7235DA32" w14:textId="77777777" w:rsidR="00903835" w:rsidRPr="0019113B" w:rsidRDefault="00622CC8" w:rsidP="00622CC8">
            <w:r w:rsidRPr="0019113B">
              <w:t>3,55</w:t>
            </w:r>
          </w:p>
        </w:tc>
      </w:tr>
      <w:tr w:rsidR="00622CC8" w:rsidRPr="0019113B" w14:paraId="2966D3E9" w14:textId="77777777" w:rsidTr="00622CC8">
        <w:trPr>
          <w:tblCellSpacing w:w="0" w:type="dxa"/>
          <w:jc w:val="center"/>
        </w:trPr>
        <w:tc>
          <w:tcPr>
            <w:tcW w:w="1945" w:type="dxa"/>
            <w:tcBorders>
              <w:top w:val="outset" w:sz="6" w:space="0" w:color="auto"/>
              <w:left w:val="outset" w:sz="6" w:space="0" w:color="auto"/>
              <w:bottom w:val="outset" w:sz="6" w:space="0" w:color="auto"/>
              <w:right w:val="outset" w:sz="6" w:space="0" w:color="auto"/>
            </w:tcBorders>
            <w:vAlign w:val="center"/>
            <w:hideMark/>
          </w:tcPr>
          <w:p w14:paraId="0F5E44A0" w14:textId="77777777" w:rsidR="00903835" w:rsidRPr="0019113B" w:rsidRDefault="00622CC8" w:rsidP="00622CC8">
            <w:r w:rsidRPr="0019113B">
              <w:lastRenderedPageBreak/>
              <w:t>JusanInvest</w:t>
            </w:r>
          </w:p>
        </w:tc>
        <w:tc>
          <w:tcPr>
            <w:tcW w:w="1625" w:type="dxa"/>
            <w:tcBorders>
              <w:top w:val="outset" w:sz="6" w:space="0" w:color="auto"/>
              <w:left w:val="outset" w:sz="6" w:space="0" w:color="auto"/>
              <w:bottom w:val="outset" w:sz="6" w:space="0" w:color="auto"/>
              <w:right w:val="outset" w:sz="6" w:space="0" w:color="auto"/>
            </w:tcBorders>
            <w:vAlign w:val="center"/>
            <w:hideMark/>
          </w:tcPr>
          <w:p w14:paraId="2E7B7981" w14:textId="77777777" w:rsidR="00903835" w:rsidRPr="0019113B" w:rsidRDefault="00622CC8" w:rsidP="00622CC8">
            <w:r w:rsidRPr="0019113B">
              <w:t>14,65</w:t>
            </w:r>
          </w:p>
        </w:tc>
        <w:tc>
          <w:tcPr>
            <w:tcW w:w="1858" w:type="dxa"/>
            <w:tcBorders>
              <w:top w:val="outset" w:sz="6" w:space="0" w:color="auto"/>
              <w:left w:val="outset" w:sz="6" w:space="0" w:color="auto"/>
              <w:bottom w:val="outset" w:sz="6" w:space="0" w:color="auto"/>
              <w:right w:val="outset" w:sz="6" w:space="0" w:color="auto"/>
            </w:tcBorders>
            <w:vAlign w:val="center"/>
            <w:hideMark/>
          </w:tcPr>
          <w:p w14:paraId="51F1195D" w14:textId="77777777" w:rsidR="00903835" w:rsidRPr="0019113B" w:rsidRDefault="00622CC8" w:rsidP="00622CC8">
            <w:r w:rsidRPr="0019113B">
              <w:t>3,35</w:t>
            </w:r>
          </w:p>
        </w:tc>
      </w:tr>
      <w:tr w:rsidR="00622CC8" w:rsidRPr="0019113B" w14:paraId="410A218F" w14:textId="77777777" w:rsidTr="00622CC8">
        <w:trPr>
          <w:tblCellSpacing w:w="0" w:type="dxa"/>
          <w:jc w:val="center"/>
        </w:trPr>
        <w:tc>
          <w:tcPr>
            <w:tcW w:w="1945" w:type="dxa"/>
            <w:tcBorders>
              <w:top w:val="outset" w:sz="6" w:space="0" w:color="auto"/>
              <w:left w:val="outset" w:sz="6" w:space="0" w:color="auto"/>
              <w:bottom w:val="outset" w:sz="6" w:space="0" w:color="auto"/>
              <w:right w:val="outset" w:sz="6" w:space="0" w:color="auto"/>
            </w:tcBorders>
            <w:vAlign w:val="center"/>
            <w:hideMark/>
          </w:tcPr>
          <w:p w14:paraId="68DC644A" w14:textId="77777777" w:rsidR="00903835" w:rsidRPr="0019113B" w:rsidRDefault="00622CC8" w:rsidP="00622CC8">
            <w:r w:rsidRPr="0019113B">
              <w:t>BCC Invest</w:t>
            </w:r>
          </w:p>
        </w:tc>
        <w:tc>
          <w:tcPr>
            <w:tcW w:w="1625" w:type="dxa"/>
            <w:tcBorders>
              <w:top w:val="outset" w:sz="6" w:space="0" w:color="auto"/>
              <w:left w:val="outset" w:sz="6" w:space="0" w:color="auto"/>
              <w:bottom w:val="outset" w:sz="6" w:space="0" w:color="auto"/>
              <w:right w:val="outset" w:sz="6" w:space="0" w:color="auto"/>
            </w:tcBorders>
            <w:vAlign w:val="center"/>
            <w:hideMark/>
          </w:tcPr>
          <w:p w14:paraId="6A005222" w14:textId="77777777" w:rsidR="00903835" w:rsidRPr="0019113B" w:rsidRDefault="00622CC8" w:rsidP="00622CC8">
            <w:r w:rsidRPr="0019113B">
              <w:t>14,5</w:t>
            </w:r>
          </w:p>
        </w:tc>
        <w:tc>
          <w:tcPr>
            <w:tcW w:w="1858" w:type="dxa"/>
            <w:tcBorders>
              <w:top w:val="outset" w:sz="6" w:space="0" w:color="auto"/>
              <w:left w:val="outset" w:sz="6" w:space="0" w:color="auto"/>
              <w:bottom w:val="outset" w:sz="6" w:space="0" w:color="auto"/>
              <w:right w:val="outset" w:sz="6" w:space="0" w:color="auto"/>
            </w:tcBorders>
            <w:vAlign w:val="center"/>
            <w:hideMark/>
          </w:tcPr>
          <w:p w14:paraId="295BC7BB" w14:textId="77777777" w:rsidR="00903835" w:rsidRPr="0019113B" w:rsidRDefault="00622CC8" w:rsidP="00622CC8">
            <w:r w:rsidRPr="0019113B">
              <w:t>3,2</w:t>
            </w:r>
          </w:p>
        </w:tc>
      </w:tr>
      <w:tr w:rsidR="00622CC8" w:rsidRPr="0019113B" w14:paraId="6D4F69F5" w14:textId="77777777" w:rsidTr="00622CC8">
        <w:trPr>
          <w:tblCellSpacing w:w="0" w:type="dxa"/>
          <w:jc w:val="center"/>
        </w:trPr>
        <w:tc>
          <w:tcPr>
            <w:tcW w:w="1945" w:type="dxa"/>
            <w:tcBorders>
              <w:top w:val="outset" w:sz="6" w:space="0" w:color="auto"/>
              <w:left w:val="outset" w:sz="6" w:space="0" w:color="auto"/>
              <w:bottom w:val="outset" w:sz="6" w:space="0" w:color="auto"/>
              <w:right w:val="outset" w:sz="6" w:space="0" w:color="auto"/>
            </w:tcBorders>
            <w:vAlign w:val="center"/>
            <w:hideMark/>
          </w:tcPr>
          <w:p w14:paraId="3CB62F82" w14:textId="77777777" w:rsidR="00903835" w:rsidRPr="0019113B" w:rsidRDefault="00622CC8" w:rsidP="00622CC8">
            <w:r w:rsidRPr="0019113B">
              <w:t>Нацбанк РК (ОПВ/ДПВ)</w:t>
            </w:r>
          </w:p>
        </w:tc>
        <w:tc>
          <w:tcPr>
            <w:tcW w:w="1625" w:type="dxa"/>
            <w:tcBorders>
              <w:top w:val="outset" w:sz="6" w:space="0" w:color="auto"/>
              <w:left w:val="outset" w:sz="6" w:space="0" w:color="auto"/>
              <w:bottom w:val="outset" w:sz="6" w:space="0" w:color="auto"/>
              <w:right w:val="outset" w:sz="6" w:space="0" w:color="auto"/>
            </w:tcBorders>
            <w:vAlign w:val="center"/>
            <w:hideMark/>
          </w:tcPr>
          <w:p w14:paraId="34496FC9" w14:textId="77777777" w:rsidR="00903835" w:rsidRPr="0019113B" w:rsidRDefault="00622CC8" w:rsidP="00622CC8">
            <w:r w:rsidRPr="0019113B">
              <w:t>13,08</w:t>
            </w:r>
          </w:p>
        </w:tc>
        <w:tc>
          <w:tcPr>
            <w:tcW w:w="1858" w:type="dxa"/>
            <w:tcBorders>
              <w:top w:val="outset" w:sz="6" w:space="0" w:color="auto"/>
              <w:left w:val="outset" w:sz="6" w:space="0" w:color="auto"/>
              <w:bottom w:val="outset" w:sz="6" w:space="0" w:color="auto"/>
              <w:right w:val="outset" w:sz="6" w:space="0" w:color="auto"/>
            </w:tcBorders>
            <w:vAlign w:val="center"/>
            <w:hideMark/>
          </w:tcPr>
          <w:p w14:paraId="00523888" w14:textId="77777777" w:rsidR="00903835" w:rsidRPr="0019113B" w:rsidRDefault="00622CC8" w:rsidP="00622CC8">
            <w:r w:rsidRPr="0019113B">
              <w:t>1,78</w:t>
            </w:r>
          </w:p>
        </w:tc>
      </w:tr>
      <w:tr w:rsidR="00622CC8" w:rsidRPr="0019113B" w14:paraId="30D026B7" w14:textId="77777777" w:rsidTr="00622CC8">
        <w:trPr>
          <w:tblCellSpacing w:w="0" w:type="dxa"/>
          <w:jc w:val="center"/>
        </w:trPr>
        <w:tc>
          <w:tcPr>
            <w:tcW w:w="1945" w:type="dxa"/>
            <w:tcBorders>
              <w:top w:val="outset" w:sz="6" w:space="0" w:color="auto"/>
              <w:left w:val="outset" w:sz="6" w:space="0" w:color="auto"/>
              <w:bottom w:val="outset" w:sz="6" w:space="0" w:color="auto"/>
              <w:right w:val="outset" w:sz="6" w:space="0" w:color="auto"/>
            </w:tcBorders>
            <w:vAlign w:val="center"/>
            <w:hideMark/>
          </w:tcPr>
          <w:p w14:paraId="1AA0D0D2" w14:textId="77777777" w:rsidR="00903835" w:rsidRPr="0019113B" w:rsidRDefault="00622CC8" w:rsidP="00622CC8">
            <w:r w:rsidRPr="0019113B">
              <w:t>Нацбанк РК (ОПВР)</w:t>
            </w:r>
          </w:p>
        </w:tc>
        <w:tc>
          <w:tcPr>
            <w:tcW w:w="1625" w:type="dxa"/>
            <w:tcBorders>
              <w:top w:val="outset" w:sz="6" w:space="0" w:color="auto"/>
              <w:left w:val="outset" w:sz="6" w:space="0" w:color="auto"/>
              <w:bottom w:val="outset" w:sz="6" w:space="0" w:color="auto"/>
              <w:right w:val="outset" w:sz="6" w:space="0" w:color="auto"/>
            </w:tcBorders>
            <w:vAlign w:val="center"/>
            <w:hideMark/>
          </w:tcPr>
          <w:p w14:paraId="2677D10C" w14:textId="77777777" w:rsidR="00903835" w:rsidRPr="0019113B" w:rsidRDefault="00622CC8" w:rsidP="00622CC8">
            <w:r w:rsidRPr="0019113B">
              <w:t>11,39</w:t>
            </w:r>
          </w:p>
        </w:tc>
        <w:tc>
          <w:tcPr>
            <w:tcW w:w="1858" w:type="dxa"/>
            <w:tcBorders>
              <w:top w:val="outset" w:sz="6" w:space="0" w:color="auto"/>
              <w:left w:val="outset" w:sz="6" w:space="0" w:color="auto"/>
              <w:bottom w:val="outset" w:sz="6" w:space="0" w:color="auto"/>
              <w:right w:val="outset" w:sz="6" w:space="0" w:color="auto"/>
            </w:tcBorders>
            <w:vAlign w:val="center"/>
            <w:hideMark/>
          </w:tcPr>
          <w:p w14:paraId="5D9B7B25" w14:textId="77777777" w:rsidR="00903835" w:rsidRPr="0019113B" w:rsidRDefault="00622CC8" w:rsidP="00622CC8">
            <w:r w:rsidRPr="0019113B">
              <w:t>0,09</w:t>
            </w:r>
          </w:p>
        </w:tc>
      </w:tr>
    </w:tbl>
    <w:p w14:paraId="3C6A0004" w14:textId="77777777" w:rsidR="00622CC8" w:rsidRPr="0019113B" w:rsidRDefault="00622CC8" w:rsidP="00622CC8">
      <w:r w:rsidRPr="0019113B">
        <w:t>Источник: АО ЕНПФ, 2025г.</w:t>
      </w:r>
    </w:p>
    <w:p w14:paraId="498F6282" w14:textId="77777777" w:rsidR="00622CC8" w:rsidRPr="0019113B" w:rsidRDefault="00622CC8" w:rsidP="00622CC8">
      <w:r w:rsidRPr="0019113B">
        <w:t>Тем не менее основная масса вкладчиков продолжает хранить средства в ЕНПФ, не предпринимая шагов по переводу накоплений, хотя это просто и бесплатно. Это делает казахстанцев соучастниками системных потерь. Несмотря на законодательно закреплённую возможность передать до 50% всех своих пенсионных средств частным управляющим компаниям даже без достижения порога изъятия, большинство игнорирует эту возможность.</w:t>
      </w:r>
    </w:p>
    <w:p w14:paraId="1CC2F2E4" w14:textId="77777777" w:rsidR="00622CC8" w:rsidRPr="0019113B" w:rsidRDefault="00622CC8" w:rsidP="00622CC8">
      <w:r w:rsidRPr="0019113B">
        <w:t>Накопленная реальная доходность с начала текущего года у всех управляющих отрицательная из-за инфляции, но у частных она все-таки ниже. Бесспорным лидером среди частных управляющих пенсионными активами является Halyk Finance, под управлением которого находится свыше 40 млрд тенге или 63% рынка.</w:t>
      </w:r>
    </w:p>
    <w:p w14:paraId="7DECCA40" w14:textId="77777777" w:rsidR="00622CC8" w:rsidRPr="0019113B" w:rsidRDefault="00622CC8" w:rsidP="00622CC8">
      <w:r w:rsidRPr="0019113B">
        <w:t>Halyk Finance, заработавший своим клиентам 18,07% по итогам 2024 года, продолжает делать ставку на валютную диверсификацию.  Одним из ключевых факторов полученного результата стала планомерная стратегия по наращиванию портфеля валютных активов, начатая с 2024 года. По данным отчетной встречи с клиентами по итогам I полугодия 2024 года доля валютных активов удвоилась, составив 32%. На 1 января этого года доля валютных активов превысила 35%; к 1 апреля эта цифра достигла почти 38%.</w:t>
      </w:r>
    </w:p>
    <w:p w14:paraId="0017E6A6" w14:textId="77777777" w:rsidR="00622CC8" w:rsidRPr="0019113B" w:rsidRDefault="00622CC8" w:rsidP="00622CC8">
      <w:r w:rsidRPr="0019113B">
        <w:t>Ранее руководство инвестбанка декларировало свои планы по наращиванию валютной части пенсионных активов до 50%. По логике менеджмента, это снизит риски обесценения тенге и позитивно скажется на накоплениях клиентов на долгосрочном периоде. Особенно в контексте растущей глобальной нестабильности и торговых войн.</w:t>
      </w:r>
    </w:p>
    <w:p w14:paraId="2FF82946" w14:textId="77777777" w:rsidR="00622CC8" w:rsidRPr="0019113B" w:rsidRDefault="00622CC8" w:rsidP="00622CC8">
      <w:r w:rsidRPr="0019113B">
        <w:t>Большая часть инвестиций HalykFinance приходится на инструменты, выпущенные эмитентами из Казахстана (57%) и США (33%). Кроме того, подавляющая часть активов инвестирована в ценные бумаги государственного (&gt;38%) и финансового (&gt;37%) секторов, что отражает высокую надежность и сохранность средств.</w:t>
      </w:r>
    </w:p>
    <w:p w14:paraId="5E543A65" w14:textId="77777777" w:rsidR="00622CC8" w:rsidRPr="0019113B" w:rsidRDefault="00622CC8" w:rsidP="00622CC8">
      <w:r w:rsidRPr="0019113B">
        <w:t>Напомним, в 2023 году HalykFinance также стал лидером по прибыльности для клиентов среди управляющих пенсионными активами (УИП). Доходность, распределенная на счета вкладчиков, доверивших HalykFinance свои накопления, составила 17,2% в номинале и 7,4% в реальном выражении (за вычетом инфляции).</w:t>
      </w:r>
    </w:p>
    <w:p w14:paraId="6051259B" w14:textId="77777777" w:rsidR="00622CC8" w:rsidRPr="0019113B" w:rsidRDefault="00622CC8" w:rsidP="00622CC8">
      <w:r w:rsidRPr="0019113B">
        <w:t>Несмотря на относительно высокие и стабильные показатели доходности частных управляющих пенсионными активами, большинство населения (99,9% активов) все еще пассивно относятся к вопросу эффективного управления своими пенсионными накоплениями, оставляя их под управлением Национального банка Казахстана.</w:t>
      </w:r>
    </w:p>
    <w:p w14:paraId="241CA13F" w14:textId="77777777" w:rsidR="00622CC8" w:rsidRPr="0019113B" w:rsidRDefault="00622CC8" w:rsidP="00622CC8">
      <w:r w:rsidRPr="0019113B">
        <w:t xml:space="preserve">Возможность осуществлять управление своими накоплениями у граждан Казахстана появилась с середины 2023 года. Тогда были приняты поправки в законодательство, </w:t>
      </w:r>
      <w:r w:rsidRPr="0019113B">
        <w:lastRenderedPageBreak/>
        <w:t xml:space="preserve">разрешающие казахстанцам перевести до 50% своих всех своих пенсионных накоплений вне зависимости от достаточности минимального порога из ЕНПФ частным управляющим. Это нововведение направлено на повышение доходности пенсионных средств за счет профессионального управления инвестициями. </w:t>
      </w:r>
    </w:p>
    <w:p w14:paraId="7962C3FA" w14:textId="77777777" w:rsidR="00622CC8" w:rsidRPr="0019113B" w:rsidRDefault="00622CC8" w:rsidP="00622CC8">
      <w:r w:rsidRPr="0019113B">
        <w:t>Воспользоваться опцией можно онлайн, не выходя из дома. Для этого необходимо посредством ЭЦП войти в личный кабинет на сайте ЕНПФ. Далее проверить доступную для перевода сумму (до 50% от всех имеющихся пенсионных накоплений), ознакомиться с деятельностью и выбрать подходящую управляющую компанию. Подача заявления делается онлайн и подтверждается посредством ЭЦП. В личном кабинете и на сайте ЕНПФ и самих управляющих можно получать отчетность об управлении вашими активами.</w:t>
      </w:r>
    </w:p>
    <w:p w14:paraId="5D0542B5" w14:textId="77777777" w:rsidR="00622CC8" w:rsidRPr="0019113B" w:rsidRDefault="00622CC8" w:rsidP="00622CC8">
      <w:r w:rsidRPr="0019113B">
        <w:t>Напомним, что одним из преимуществ данной опции, разрешенной законом, является возможность для вкладчиков получить более высокую доходность и возможность диверсифицировать свои пенсионные активы. По некоторым оценкам, пассивность казахстанцев в вопросах активного управления своими пенсионными накопления только в 2023 году привела к недополученным доходам в 800 млрд тенге. Однако важно учитывать риски, связанные с рыночными условиями и стратегией УК. Перед выбором рекомендуется тщательно изучить репутацию компании и её финансовые показатели.</w:t>
      </w:r>
    </w:p>
    <w:p w14:paraId="2DDD0162" w14:textId="77777777" w:rsidR="00622CC8" w:rsidRPr="0019113B" w:rsidRDefault="00622CC8" w:rsidP="00622CC8">
      <w:hyperlink r:id="rId51" w:history="1">
        <w:r w:rsidRPr="0019113B">
          <w:rPr>
            <w:rStyle w:val="a3"/>
          </w:rPr>
          <w:t>https://inbusiness.kz/ru/news/inflyaciya-prodolzhaet-sedat-pensii-kazahstancev</w:t>
        </w:r>
      </w:hyperlink>
      <w:r w:rsidRPr="0019113B">
        <w:t xml:space="preserve"> </w:t>
      </w:r>
    </w:p>
    <w:p w14:paraId="128AC819" w14:textId="77777777" w:rsidR="00622CC8" w:rsidRPr="0019113B" w:rsidRDefault="00622CC8" w:rsidP="00622CC8">
      <w:pPr>
        <w:pStyle w:val="2"/>
      </w:pPr>
      <w:bookmarkStart w:id="177" w:name="_Toc201902010"/>
      <w:r w:rsidRPr="0019113B">
        <w:t>Даракчи, 26.06.2025, Повысится ли пенсионный возраст в Узбекистане?</w:t>
      </w:r>
      <w:bookmarkEnd w:id="177"/>
    </w:p>
    <w:p w14:paraId="712B2319" w14:textId="77777777" w:rsidR="00622CC8" w:rsidRPr="0019113B" w:rsidRDefault="00622CC8" w:rsidP="0097376F">
      <w:pPr>
        <w:pStyle w:val="3"/>
      </w:pPr>
      <w:bookmarkStart w:id="178" w:name="_Toc201902011"/>
      <w:r w:rsidRPr="0019113B">
        <w:t>Пенсионный фонд Узбекистана официально высказался по поводу рекомендаций МВФ провести реформу действующей пенсионной системы. В частности, Фонд предложил постепенно повышать пенсионный возраст.</w:t>
      </w:r>
      <w:bookmarkEnd w:id="178"/>
      <w:r w:rsidRPr="0019113B">
        <w:t xml:space="preserve"> </w:t>
      </w:r>
    </w:p>
    <w:p w14:paraId="1EEE62E1" w14:textId="77777777" w:rsidR="00622CC8" w:rsidRPr="0019113B" w:rsidRDefault="00622CC8" w:rsidP="00622CC8">
      <w:r w:rsidRPr="0019113B">
        <w:t>"На сегодняшний день в Узбекистане не принято никакого окончательного решения о повышении пенсионного возраста.</w:t>
      </w:r>
    </w:p>
    <w:p w14:paraId="3A5421B0" w14:textId="77777777" w:rsidR="00622CC8" w:rsidRPr="0019113B" w:rsidRDefault="00622CC8" w:rsidP="00622CC8">
      <w:r w:rsidRPr="0019113B">
        <w:t>Предложения международных экспертов по проведению пенсионной реформы в настоящее время анализируются на предмет их соответствия условиям Узбекистана, влияния на уровень жизни населения и экономических последствий.</w:t>
      </w:r>
    </w:p>
    <w:p w14:paraId="489D2F82" w14:textId="77777777" w:rsidR="00622CC8" w:rsidRPr="0019113B" w:rsidRDefault="00622CC8" w:rsidP="00622CC8">
      <w:r w:rsidRPr="0019113B">
        <w:t>Любые изменения в пенсионную систему, в том числе по вопросам пенсионного возраста, будут внедряться поэтапно после широкого обсуждения общественностью, с учетом мнения и интересов народа,"— говорится в комментарии Пенсионного фонда.</w:t>
      </w:r>
    </w:p>
    <w:p w14:paraId="51346E82" w14:textId="77777777" w:rsidR="00111D7C" w:rsidRPr="0019113B" w:rsidRDefault="00622CC8" w:rsidP="00622CC8">
      <w:hyperlink r:id="rId52" w:history="1">
        <w:r w:rsidRPr="0019113B">
          <w:rPr>
            <w:rStyle w:val="a3"/>
          </w:rPr>
          <w:t>https://darakchi.uz/ru/202005</w:t>
        </w:r>
      </w:hyperlink>
    </w:p>
    <w:p w14:paraId="63805AB9" w14:textId="77777777" w:rsidR="00E82515" w:rsidRPr="0019113B" w:rsidRDefault="00E82515" w:rsidP="00E82515">
      <w:pPr>
        <w:pStyle w:val="2"/>
      </w:pPr>
      <w:bookmarkStart w:id="179" w:name="_Toc201902012"/>
      <w:r w:rsidRPr="0019113B">
        <w:lastRenderedPageBreak/>
        <w:t>newshub.uz, 26.06.2025, В Узбекистане ответили на рекомендацию МВФ повысить пенсионный возраст</w:t>
      </w:r>
      <w:bookmarkEnd w:id="179"/>
    </w:p>
    <w:p w14:paraId="4E2561D1" w14:textId="77777777" w:rsidR="00E82515" w:rsidRPr="0019113B" w:rsidRDefault="00E82515" w:rsidP="0097376F">
      <w:pPr>
        <w:pStyle w:val="3"/>
      </w:pPr>
      <w:bookmarkStart w:id="180" w:name="_Toc201902013"/>
      <w:r w:rsidRPr="0019113B">
        <w:t>Пенсионный фонд Узбекистана заявил, что рассматривает предложения Международного валютного фонда (МВФ) о повышении пенсионного возраста, однако пока никаких решений по этому вопросу не принято.</w:t>
      </w:r>
      <w:bookmarkEnd w:id="180"/>
    </w:p>
    <w:p w14:paraId="0B267D60" w14:textId="77777777" w:rsidR="00E82515" w:rsidRPr="0019113B" w:rsidRDefault="00E82515" w:rsidP="00E82515">
      <w:r w:rsidRPr="0019113B">
        <w:t>«На сегодняшний день в Узбекистане никакого окончательного решения по увеличению пенсионного возраста не принято. Предложения международных экспертов по проведению пенсионной реформы сейчас анализируются с точки зрения их соответствия условиям Узбекистана, влияния на уровень жизни населения и экономических последствий», – говорится в сообщении Пенсионного фонда.</w:t>
      </w:r>
    </w:p>
    <w:p w14:paraId="5EA4754F" w14:textId="77777777" w:rsidR="00E82515" w:rsidRPr="0019113B" w:rsidRDefault="00E82515" w:rsidP="00E82515">
      <w:r w:rsidRPr="0019113B">
        <w:t>В ведомстве подчеркнули, что все инициативы, касающиеся реформирования пенсионной системы, в том числе изменения возрастных порогов, будут внедряться поэтапно и только после общественного обсуждения.</w:t>
      </w:r>
    </w:p>
    <w:p w14:paraId="663542B2" w14:textId="77777777" w:rsidR="00E82515" w:rsidRPr="0019113B" w:rsidRDefault="00E82515" w:rsidP="00E82515">
      <w:r w:rsidRPr="0019113B">
        <w:t>МВФ рекомендовал Узбекистану пересмотреть параметры текущей пенсионной модели, в том числе постепенное повышение минимального возраста выхода на пенсию, чтобы обеспечить устойчивость системы в среднесрочной перспективе. Сейчас пенсионный возраст в стране составляет 60 лет для мужчин и 55 лет для женщин.</w:t>
      </w:r>
    </w:p>
    <w:p w14:paraId="244C8F31" w14:textId="77777777" w:rsidR="00E82515" w:rsidRPr="0019113B" w:rsidRDefault="00E82515" w:rsidP="00E82515">
      <w:r w:rsidRPr="0019113B">
        <w:t>Ранее глава офиса МВФ в стране Коба Гвенетадзе заявлял, что Узбекистану, возможно, предстоит пересмотреть возраст выхода на пенсию, чтобы снизить нагрузку на бюджет и подготовиться к демографическим изменениям.</w:t>
      </w:r>
    </w:p>
    <w:p w14:paraId="281E0D30" w14:textId="77777777" w:rsidR="00622CC8" w:rsidRPr="0019113B" w:rsidRDefault="00E82515" w:rsidP="00E82515">
      <w:hyperlink r:id="rId53" w:history="1">
        <w:r w:rsidRPr="0019113B">
          <w:rPr>
            <w:rStyle w:val="a3"/>
          </w:rPr>
          <w:t>https://newshub.uz/articles/v-uzbekistane-otvetili-na-rekomendaciiu-mvf-povysit-pensionnyi-vozrast</w:t>
        </w:r>
      </w:hyperlink>
    </w:p>
    <w:p w14:paraId="23ECC1BB" w14:textId="77777777" w:rsidR="00E82515" w:rsidRPr="0019113B" w:rsidRDefault="00E82515" w:rsidP="00E82515"/>
    <w:p w14:paraId="4CD0EDDD" w14:textId="77777777" w:rsidR="00111D7C" w:rsidRDefault="00111D7C" w:rsidP="00111D7C">
      <w:pPr>
        <w:pStyle w:val="10"/>
      </w:pPr>
      <w:bookmarkStart w:id="181" w:name="_Toc99271715"/>
      <w:bookmarkStart w:id="182" w:name="_Toc99318660"/>
      <w:bookmarkStart w:id="183" w:name="_Toc165991080"/>
      <w:bookmarkStart w:id="184" w:name="_Toc201902014"/>
      <w:r w:rsidRPr="0019113B">
        <w:t>Новости пенсионной отрасли стран дальнего зарубежья</w:t>
      </w:r>
      <w:bookmarkEnd w:id="181"/>
      <w:bookmarkEnd w:id="182"/>
      <w:bookmarkEnd w:id="183"/>
      <w:bookmarkEnd w:id="184"/>
    </w:p>
    <w:p w14:paraId="06420357" w14:textId="77777777" w:rsidR="00266C70" w:rsidRDefault="00266C70" w:rsidP="00266C70">
      <w:pPr>
        <w:pStyle w:val="2"/>
      </w:pPr>
      <w:bookmarkStart w:id="185" w:name="_Toc201902015"/>
      <w:r>
        <w:t>РИА Новости, 26.06.2025</w:t>
      </w:r>
      <w:r w:rsidRPr="00266C70">
        <w:t xml:space="preserve">, </w:t>
      </w:r>
      <w:r>
        <w:t>Консультации премьера Франции подтвердили спорное повышение пенсионного возраста</w:t>
      </w:r>
      <w:bookmarkEnd w:id="185"/>
    </w:p>
    <w:p w14:paraId="2D86E218" w14:textId="77777777" w:rsidR="00266C70" w:rsidRDefault="00266C70" w:rsidP="00266C70">
      <w:pPr>
        <w:pStyle w:val="3"/>
      </w:pPr>
      <w:bookmarkStart w:id="186" w:name="_Toc201902016"/>
      <w:r>
        <w:t>Представители работников и работодателей, участвовавшие в организованных премьер-министром Франсуа Байру консультациях о корректировке пенсионной реформы, согласились с сохранением повышения пенсионного возраста в соответствии с реформой 2023 года, заявил глава правительства.</w:t>
      </w:r>
      <w:bookmarkEnd w:id="186"/>
    </w:p>
    <w:p w14:paraId="2A9C831E" w14:textId="77777777" w:rsidR="00266C70" w:rsidRDefault="00266C70" w:rsidP="00266C70">
      <w:r>
        <w:t>"Все участники согласились с тем - и это было непросто - чтобы не ставить под вопрос в этих переговорах возрастные ограничения, установленные законом от 2023 года . Это решающее продвижение, и я хочу поприветствовать мужество представителей, которые одобрили этот пункт", - сказал Байру в ходе пресс-конференции. Трансляция велась на YouTube-канале французского правительства.</w:t>
      </w:r>
    </w:p>
    <w:p w14:paraId="515EEBEA" w14:textId="77777777" w:rsidR="00266C70" w:rsidRDefault="00266C70" w:rsidP="00266C70">
      <w:r>
        <w:t xml:space="preserve">Ранее завершились продлившиеся почти полгода переговоры между профсоюзами и организациями работодателей по вопросу пенсионной реформы 2023 года. </w:t>
      </w:r>
      <w:r>
        <w:lastRenderedPageBreak/>
        <w:t>Консультации с партиями и профсоюзами были организованы по инициативе Байру с целью "корректировки" реформы, поднимающей возраст выхода на пенсию с 62 до 64 лет.</w:t>
      </w:r>
    </w:p>
    <w:p w14:paraId="418D5DEE" w14:textId="77777777" w:rsidR="00266C70" w:rsidRDefault="00266C70" w:rsidP="00266C70">
      <w:r>
        <w:t>В феврале был опубликован отчет Счетной палаты, в нем отмечается, что на данный момент дефицит пенсионного фонда Франции составляет 6,6 миллиарда евро, а к 2035 году он составит около 15 миллиардов, к 2045 - около 30 миллиардов евро. Эксперты отмечают, что до 2030 года ожидается период стабилизации за счет пенсионной реформы 2023 года, постепенно повышающей пенсионный возраст до 64 лет. Затем ее эффект ослабнет, а общий дефицит значительно вырастет.</w:t>
      </w:r>
    </w:p>
    <w:p w14:paraId="675938D8" w14:textId="77777777" w:rsidR="00645A59" w:rsidRDefault="00645A59" w:rsidP="00645A59">
      <w:pPr>
        <w:pStyle w:val="2"/>
      </w:pPr>
      <w:bookmarkStart w:id="187" w:name="_Toc201902017"/>
      <w:r>
        <w:t>ТАСС, 26.06.2025</w:t>
      </w:r>
      <w:r w:rsidRPr="00645A59">
        <w:t xml:space="preserve">, </w:t>
      </w:r>
      <w:r>
        <w:t>Во Франции профсоюзы больше не требуют снижения пенсионного возраста - премьер</w:t>
      </w:r>
      <w:bookmarkEnd w:id="187"/>
    </w:p>
    <w:p w14:paraId="64E697F3" w14:textId="77777777" w:rsidR="00645A59" w:rsidRDefault="00645A59" w:rsidP="00645A59">
      <w:pPr>
        <w:pStyle w:val="3"/>
      </w:pPr>
      <w:bookmarkStart w:id="188" w:name="_Toc201902018"/>
      <w:r>
        <w:t>Крупнейшие профсоюзы Франции на переговорах с  премьер-министром страны Франсуа Байру и представителями работодателей  отказались от требований вернуть возраст выхода на пенсию к 62 годам, как это  было до пенсионной реформы 2023 года. Об этом сообщил глава правительства на  пресс-конференции по итогам переговоров.</w:t>
      </w:r>
      <w:bookmarkEnd w:id="188"/>
    </w:p>
    <w:p w14:paraId="7D602B2D" w14:textId="77777777" w:rsidR="00645A59" w:rsidRDefault="00645A59" w:rsidP="00645A59">
      <w:r>
        <w:t>"Все участники согласились не ставить под сомнение возрастные условия,  установленные реформой 2023 года", - сказал премьер. В то же время, по его  словам, был достигнут компромисс по поводу возраста выхода на пенсию с полной  ставкой - он должен быть снижен с 67 до 66,5 лет. Также он сообщил о выраженном  профсоюзами и представителями работодателей желании "значительно и немедленно  улучшить пенсии женщин, родивших детей".</w:t>
      </w:r>
    </w:p>
    <w:p w14:paraId="6D655EBF" w14:textId="77777777" w:rsidR="00645A59" w:rsidRDefault="00645A59" w:rsidP="00645A59">
      <w:r>
        <w:t>Глава правительства признал, что итогового соглашения добиться не удалось,  как и не удалось прийти к компромиссу по поводу финансирования пенсионного  бюджета. Он, однако, считает, что компромисс "на расстоянии вытянутой руки" и  осталось урегулировать последние разногласия. "Если социальные партнеры не  смогут прийти к соглашению, правительство возьмет на себя ответственность и  предложит компромиссные положения, которые будут включены в текст, который будет  представлен парламенту осенью как часть законопроекта о финансировании  социального обеспечения", - подчеркнул он.</w:t>
      </w:r>
    </w:p>
    <w:p w14:paraId="64F0B9E6" w14:textId="77777777" w:rsidR="00645A59" w:rsidRDefault="00645A59" w:rsidP="00645A59">
      <w:r>
        <w:t>Байру ожидает, что общего соглашения по этому вопросу удастся добиться через  несколько недель по итогам очередной встречи с профсоюзами и профессиональными  ассоциациями. Представители профсоюза CFDT ("Французская демократическая  конфедерация труда") в свою очередь сообщили агентству AFP, что, хотя они и  довольны тем, что премьер принял многие из требований, "вопросы профессий с  тяжелыми условиями труда и финансовой стабильности" по-прежнему остаются  неурегулированными. CFDT собирается согласовать дальнейшие шаги на внутреннем  собрании в пятницу, тогда как в профсоюзе CFTC ("Французская конфедерация  трудящихся христиан") заявили, что новых встреч по поводу пенсионной реформы  пока не планируется.</w:t>
      </w:r>
    </w:p>
    <w:p w14:paraId="021897C8" w14:textId="77777777" w:rsidR="00645A59" w:rsidRPr="00266C70" w:rsidRDefault="00645A59" w:rsidP="00645A59">
      <w:r>
        <w:t xml:space="preserve">Пенсионная реформа, вызвавшая протесты, была принята в обход парламента  правительством Элизабет Борн и вступила в силу во Франции 1 сентября 2023 года.  Она предусматривает повышение минимального возраста выхода на пенсию с 62 до 64  лет к </w:t>
      </w:r>
      <w:r>
        <w:lastRenderedPageBreak/>
        <w:t xml:space="preserve">2030 году. Ранее президент Франции Эмманюэль Макрон исключил возможность  проведения референдума для определения дальнейшей судьбы пенсионной реформы. </w:t>
      </w:r>
    </w:p>
    <w:p w14:paraId="0483845D" w14:textId="77777777" w:rsidR="007A5DD0" w:rsidRPr="0019113B" w:rsidRDefault="007A5DD0" w:rsidP="007A5DD0">
      <w:pPr>
        <w:pStyle w:val="2"/>
      </w:pPr>
      <w:bookmarkStart w:id="189" w:name="_Toc201902019"/>
      <w:r w:rsidRPr="0019113B">
        <w:t>Пенсия.pro, 26.06.2025, Актеры из фильмов Marvel выступили против вложения пенсионных денег в нефть</w:t>
      </w:r>
      <w:bookmarkEnd w:id="189"/>
    </w:p>
    <w:p w14:paraId="447999D0" w14:textId="77777777" w:rsidR="007A5DD0" w:rsidRPr="0019113B" w:rsidRDefault="007A5DD0" w:rsidP="0097376F">
      <w:pPr>
        <w:pStyle w:val="3"/>
      </w:pPr>
      <w:bookmarkStart w:id="190" w:name="_Toc201902020"/>
      <w:r w:rsidRPr="0019113B">
        <w:t>Голливудские актеры, в том числе Марк Руффало и Дон Чидл (Халк и Воитель из «Мстителей» Marvel), объединились и выступили с призывом запретить пенсионному фонду артистов телевидения инвестировать в полезные ископаемые.</w:t>
      </w:r>
      <w:bookmarkEnd w:id="190"/>
    </w:p>
    <w:p w14:paraId="080E899D" w14:textId="77777777" w:rsidR="007A5DD0" w:rsidRPr="0019113B" w:rsidRDefault="007A5DD0" w:rsidP="007A5DD0">
      <w:r w:rsidRPr="0019113B">
        <w:t>Идея объединения родилась еще год назад на форуме Sun Valley в Айдахо. За это время общественники, которые ратуют за отказ от ископаемого топлива ради улучшения экологии, привлекли на свою сторону десятки звезд кино и телевидения.</w:t>
      </w:r>
    </w:p>
    <w:p w14:paraId="30C1F40C" w14:textId="77777777" w:rsidR="007A5DD0" w:rsidRPr="0019113B" w:rsidRDefault="007A5DD0" w:rsidP="007A5DD0">
      <w:r w:rsidRPr="0019113B">
        <w:t>Гильдия киноактеров и Американская федерация артистов телевидения и радио (объединенная организация SAG-AFTRA) насчитывают суммарно 160 000 членов и предлагают различные пенсионные планы, пишет Bloomberg. Крупнейший из них имеет активов на сумму более 5 млрд долларов. По данным Sphere, в рамках этого фонда инвестировано в ископаемое топливо не менее 100 млн долларов.</w:t>
      </w:r>
    </w:p>
    <w:p w14:paraId="1BBC4A0D" w14:textId="77777777" w:rsidR="007A5DD0" w:rsidRPr="0019113B" w:rsidRDefault="007A5DD0" w:rsidP="007A5DD0">
      <w:r w:rsidRPr="0019113B">
        <w:t>В пенсионном фонде заявили, что готовы к диалогу с общественностью.</w:t>
      </w:r>
    </w:p>
    <w:p w14:paraId="21719876" w14:textId="77777777" w:rsidR="007A5DD0" w:rsidRPr="0019113B" w:rsidRDefault="007A5DD0" w:rsidP="007A5DD0">
      <w:r w:rsidRPr="0019113B">
        <w:t>В последние годы активисты по борьбе с изменением климата оказывали все большее давление на пенсионные фонды, чтобы те отказались от инвестиций в бизнес по добыче топлива, указывает агентство. Например, канадский пенсионный фонд Caisse de Depot et Placement du Quebec на прошлой неделе пообещал к 2030 году выделить 400 млрд долларов в низкоуглеродные источники энергии — ресурсы, выработка которых сопровождается меньшими выбросами парниковых газов по сравнению с использованием ископаемого топлива.</w:t>
      </w:r>
    </w:p>
    <w:p w14:paraId="1DF2A223" w14:textId="77777777" w:rsidR="007A5DD0" w:rsidRPr="0019113B" w:rsidRDefault="007A5DD0" w:rsidP="007A5DD0">
      <w:r w:rsidRPr="0019113B">
        <w:t>Пенсионный фонд Нью-Йорка, который управляет активами на 273,4 млрд долларов и является третьим по величине в США, вложит еще 2 млрд долларов в фонд индекса перехода к изменению климата FTSE Russell TPI. Инвестфонд создан для поддержки компаний, которые занимают зеленой энергетикой.</w:t>
      </w:r>
    </w:p>
    <w:p w14:paraId="0042E632" w14:textId="77777777" w:rsidR="007A5DD0" w:rsidRPr="0019113B" w:rsidRDefault="007A5DD0" w:rsidP="007A5DD0">
      <w:hyperlink r:id="rId54" w:history="1">
        <w:r w:rsidRPr="0019113B">
          <w:rPr>
            <w:rStyle w:val="a3"/>
          </w:rPr>
          <w:t>https://pensiya.pro/news/aktery-iz-filmov-marvel-vystupili-protiv-vlozheniya-pensionnyh-deneg-v-neft/</w:t>
        </w:r>
      </w:hyperlink>
      <w:r w:rsidRPr="0019113B">
        <w:t xml:space="preserve"> </w:t>
      </w:r>
    </w:p>
    <w:p w14:paraId="2185B899" w14:textId="77777777" w:rsidR="00DA631E" w:rsidRPr="0019113B" w:rsidRDefault="00DA631E" w:rsidP="00DA631E">
      <w:pPr>
        <w:pStyle w:val="2"/>
      </w:pPr>
      <w:bookmarkStart w:id="191" w:name="_Toc201902021"/>
      <w:bookmarkEnd w:id="117"/>
      <w:r w:rsidRPr="0019113B">
        <w:t>MK-Turkey.ru, 26.06.2025, В Турции 86 иностранных инвесторов получили турецкое гражданство по частной пенсионной программе</w:t>
      </w:r>
      <w:bookmarkEnd w:id="191"/>
    </w:p>
    <w:p w14:paraId="22079469" w14:textId="77777777" w:rsidR="00DA631E" w:rsidRPr="0019113B" w:rsidRDefault="00DA631E" w:rsidP="0097376F">
      <w:pPr>
        <w:pStyle w:val="3"/>
      </w:pPr>
      <w:bookmarkStart w:id="192" w:name="_Toc201902022"/>
      <w:r w:rsidRPr="0019113B">
        <w:t>По официальным данным, в общей сложности 86 иностранных граждан получили турецкое гражданство через индивидуальную пенсионную систему, сделав соответствующие инвестиции на сумму более 1,4 млрд лир (35,23 млн долларов США).</w:t>
      </w:r>
      <w:bookmarkEnd w:id="192"/>
    </w:p>
    <w:p w14:paraId="17D5454E" w14:textId="77777777" w:rsidR="00DA631E" w:rsidRPr="0019113B" w:rsidRDefault="00DA631E" w:rsidP="00DA631E">
      <w:r w:rsidRPr="0019113B">
        <w:t>Согласно недавно опубликованным данным Центра мониторинга пенсий Турции, по состоянию на май 2025 года накопленные пенсионные активы этих лиц достигли 1,93 млрд лир.</w:t>
      </w:r>
    </w:p>
    <w:p w14:paraId="6BD08DE9" w14:textId="77777777" w:rsidR="00DA631E" w:rsidRPr="0019113B" w:rsidRDefault="00DA631E" w:rsidP="00DA631E">
      <w:r w:rsidRPr="0019113B">
        <w:lastRenderedPageBreak/>
        <w:t>Правовая база, позволяющая иностранным гражданам приобретать турецкое гражданство через частную пенсионную схему, была создана в 2022 году. Согласно постановлению, иностранные инвесторы, которые вносят не менее 500 тыс. долларов США или эквивалентную сумму в иностранной валюте в частную пенсионную систему и обязуются сохранять свои инвестиции в течение не менее трех лет, имеют право подать заявление на получение турецкого гражданства.</w:t>
      </w:r>
    </w:p>
    <w:p w14:paraId="3AE115E9" w14:textId="77777777" w:rsidR="00DA631E" w:rsidRPr="0019113B" w:rsidRDefault="00DA631E" w:rsidP="00DA631E">
      <w:r w:rsidRPr="0019113B">
        <w:t>Эти лица должны заключить новый пенсионный договор, в названии которого есть слово «гражданство», что гарантирует, что их участие соответствует определенным критериям, установленным для целей натурализации.</w:t>
      </w:r>
    </w:p>
    <w:p w14:paraId="681265A2" w14:textId="77777777" w:rsidR="00DA631E" w:rsidRPr="0019113B" w:rsidRDefault="00DA631E" w:rsidP="00DA631E">
      <w:r w:rsidRPr="0019113B">
        <w:t>Однако в Турции постоянные участники Индивидуальной пенсионной системы обычно получают государственную субсидию, которая выступает в качестве стимула для поощрения долгосрочных сбережений. В рамках схемы гражданства иностранные вкладчики не имеют права на эту государственную ставку. Это условие вытекает из того факта, что они не являются гражданами Турции на момент их первоначальных инвестиций и заключения контракта.</w:t>
      </w:r>
    </w:p>
    <w:p w14:paraId="24D1D776" w14:textId="77777777" w:rsidR="00DA631E" w:rsidRPr="0019113B" w:rsidRDefault="00DA631E" w:rsidP="00DA631E">
      <w:r w:rsidRPr="0019113B">
        <w:t>В результате эти участники отказываются от значительного финансового преимущества — до 30% от их годовых взносов, которые в противном случае с течением времени могли бы увеличить общую стоимость их пенсионных фондов.</w:t>
      </w:r>
    </w:p>
    <w:p w14:paraId="21439B04" w14:textId="77777777" w:rsidR="00DA631E" w:rsidRPr="0019113B" w:rsidRDefault="00DA631E" w:rsidP="00DA631E">
      <w:r w:rsidRPr="0019113B">
        <w:t>По состоянию на 19 июня 2025 года в Индивидуальной пенсионной системе Турции насчитывалось почти 9,8 млн участников, а общие активы фонда достигли 1,42 трлн лир.</w:t>
      </w:r>
    </w:p>
    <w:p w14:paraId="399EB76E" w14:textId="77777777" w:rsidR="00DA631E" w:rsidRPr="0019113B" w:rsidRDefault="00DA631E" w:rsidP="00DA631E">
      <w:r w:rsidRPr="0019113B">
        <w:t>В дополнение к Индивидуальной пенсионной системе, Система автоматической регистрации, которая включает соответствующих сотрудников в частные пенсионные планы, зарегистрировала более 7,6 млн участников, а общие управляемые фонды превысили 101,3 млрд лир.</w:t>
      </w:r>
    </w:p>
    <w:p w14:paraId="18EFBBAC" w14:textId="77777777" w:rsidR="00DA631E" w:rsidRPr="0019113B" w:rsidRDefault="00DA631E" w:rsidP="00DA631E">
      <w:r w:rsidRPr="0019113B">
        <w:t>В то время как участники индивидуальной пенсионной системы, являющиеся гражданами Турции, получают государственную поддержку, направленную на увеличение пенсионных накоплений, иностранные граждане, участвующие в программе предоставления гражданства, не получают такой поддержки, что потенциально снижает их долгосрочную доходность, несмотря на высокий порог вложений.</w:t>
      </w:r>
    </w:p>
    <w:p w14:paraId="3FFF7E9D" w14:textId="77777777" w:rsidR="00CA32BC" w:rsidRPr="0090779C" w:rsidRDefault="00DA631E" w:rsidP="00CA32BC">
      <w:hyperlink r:id="rId55" w:history="1">
        <w:r w:rsidRPr="0019113B">
          <w:rPr>
            <w:rStyle w:val="a3"/>
          </w:rPr>
          <w:t>https://mk-turkey.ru/economics/2025/06/25/p-v-turcii-86-inostrannyh-investorov-poluchili-tureckoe-grazhdanstvo-po-chastnoj-pensionnoj-programme.html</w:t>
        </w:r>
      </w:hyperlink>
    </w:p>
    <w:sectPr w:rsidR="00CA32BC" w:rsidRPr="0090779C" w:rsidSect="00B01BEA">
      <w:headerReference w:type="default" r:id="rId56"/>
      <w:footerReference w:type="default" r:id="rId5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A21CC" w14:textId="77777777" w:rsidR="00E70C70" w:rsidRDefault="00E70C70">
      <w:r>
        <w:separator/>
      </w:r>
    </w:p>
  </w:endnote>
  <w:endnote w:type="continuationSeparator" w:id="0">
    <w:p w14:paraId="50D12846" w14:textId="77777777" w:rsidR="00E70C70" w:rsidRDefault="00E7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8CAF" w14:textId="77777777" w:rsidR="001309C7" w:rsidRPr="00D64E5C" w:rsidRDefault="001309C7"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103DE3" w:rsidRPr="00103DE3">
      <w:rPr>
        <w:rFonts w:ascii="Cambria" w:hAnsi="Cambria"/>
        <w:b/>
        <w:noProof/>
      </w:rPr>
      <w:t>4</w:t>
    </w:r>
    <w:r w:rsidRPr="00CB47BF">
      <w:rPr>
        <w:b/>
      </w:rPr>
      <w:fldChar w:fldCharType="end"/>
    </w:r>
  </w:p>
  <w:p w14:paraId="24CAC7DA" w14:textId="77777777" w:rsidR="001309C7" w:rsidRPr="00D15988" w:rsidRDefault="001309C7"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C018F" w14:textId="77777777" w:rsidR="00E70C70" w:rsidRDefault="00E70C70">
      <w:r>
        <w:separator/>
      </w:r>
    </w:p>
  </w:footnote>
  <w:footnote w:type="continuationSeparator" w:id="0">
    <w:p w14:paraId="38F04D83" w14:textId="77777777" w:rsidR="00E70C70" w:rsidRDefault="00E70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A6C8" w14:textId="77777777" w:rsidR="001309C7" w:rsidRDefault="009A3D09"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3CBACA53" wp14:editId="285BB698">
              <wp:simplePos x="0" y="0"/>
              <wp:positionH relativeFrom="column">
                <wp:posOffset>1619250</wp:posOffset>
              </wp:positionH>
              <wp:positionV relativeFrom="paragraph">
                <wp:posOffset>-173990</wp:posOffset>
              </wp:positionV>
              <wp:extent cx="2395220" cy="396875"/>
              <wp:effectExtent l="0" t="0" r="0" b="0"/>
              <wp:wrapNone/>
              <wp:docPr id="132654628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22DFB3" w14:textId="77777777" w:rsidR="001309C7" w:rsidRPr="000C041B" w:rsidRDefault="001309C7" w:rsidP="00122493">
                          <w:pPr>
                            <w:ind w:right="423"/>
                            <w:jc w:val="center"/>
                            <w:rPr>
                              <w:rFonts w:cs="Arial"/>
                              <w:b/>
                              <w:color w:val="EEECE1"/>
                              <w:sz w:val="6"/>
                              <w:szCs w:val="6"/>
                            </w:rPr>
                          </w:pPr>
                          <w:r w:rsidRPr="000C041B">
                            <w:rPr>
                              <w:rFonts w:cs="Arial"/>
                              <w:b/>
                              <w:color w:val="EEECE1"/>
                              <w:sz w:val="6"/>
                              <w:szCs w:val="6"/>
                            </w:rPr>
                            <w:t xml:space="preserve">        </w:t>
                          </w:r>
                        </w:p>
                        <w:p w14:paraId="1DECD0D6" w14:textId="77777777" w:rsidR="001309C7" w:rsidRPr="00D15988" w:rsidRDefault="001309C7"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114706B" w14:textId="77777777" w:rsidR="001309C7" w:rsidRPr="007336C7" w:rsidRDefault="001309C7" w:rsidP="00122493">
                          <w:pPr>
                            <w:ind w:right="423"/>
                            <w:rPr>
                              <w:rFonts w:cs="Arial"/>
                            </w:rPr>
                          </w:pPr>
                        </w:p>
                        <w:p w14:paraId="28298812" w14:textId="77777777" w:rsidR="001309C7" w:rsidRPr="00267F53" w:rsidRDefault="001309C7"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BACA53" id="AutoShape 4"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5D22DFB3" w14:textId="77777777" w:rsidR="001309C7" w:rsidRPr="000C041B" w:rsidRDefault="001309C7" w:rsidP="00122493">
                    <w:pPr>
                      <w:ind w:right="423"/>
                      <w:jc w:val="center"/>
                      <w:rPr>
                        <w:rFonts w:cs="Arial"/>
                        <w:b/>
                        <w:color w:val="EEECE1"/>
                        <w:sz w:val="6"/>
                        <w:szCs w:val="6"/>
                      </w:rPr>
                    </w:pPr>
                    <w:r w:rsidRPr="000C041B">
                      <w:rPr>
                        <w:rFonts w:cs="Arial"/>
                        <w:b/>
                        <w:color w:val="EEECE1"/>
                        <w:sz w:val="6"/>
                        <w:szCs w:val="6"/>
                      </w:rPr>
                      <w:t xml:space="preserve">        </w:t>
                    </w:r>
                  </w:p>
                  <w:p w14:paraId="1DECD0D6" w14:textId="77777777" w:rsidR="001309C7" w:rsidRPr="00D15988" w:rsidRDefault="001309C7"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114706B" w14:textId="77777777" w:rsidR="001309C7" w:rsidRPr="007336C7" w:rsidRDefault="001309C7" w:rsidP="00122493">
                    <w:pPr>
                      <w:ind w:right="423"/>
                      <w:rPr>
                        <w:rFonts w:cs="Arial"/>
                      </w:rPr>
                    </w:pPr>
                  </w:p>
                  <w:p w14:paraId="28298812" w14:textId="77777777" w:rsidR="001309C7" w:rsidRPr="00267F53" w:rsidRDefault="001309C7" w:rsidP="00122493"/>
                </w:txbxContent>
              </v:textbox>
            </v:roundrect>
          </w:pict>
        </mc:Fallback>
      </mc:AlternateContent>
    </w:r>
    <w:r w:rsidR="001309C7">
      <w:t xml:space="preserve">             </w:t>
    </w:r>
  </w:p>
  <w:p w14:paraId="6D5F212B" w14:textId="77777777" w:rsidR="001309C7" w:rsidRDefault="001309C7"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9A3D09">
      <w:rPr>
        <w:noProof/>
      </w:rPr>
      <w:drawing>
        <wp:inline distT="0" distB="0" distL="0" distR="0" wp14:anchorId="7616BEA6" wp14:editId="6CACC5F7">
          <wp:extent cx="2179320" cy="504190"/>
          <wp:effectExtent l="0" t="0" r="0" b="0"/>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504190"/>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9235691">
    <w:abstractNumId w:val="25"/>
  </w:num>
  <w:num w:numId="2" w16cid:durableId="423503206">
    <w:abstractNumId w:val="12"/>
  </w:num>
  <w:num w:numId="3" w16cid:durableId="1571840051">
    <w:abstractNumId w:val="27"/>
  </w:num>
  <w:num w:numId="4" w16cid:durableId="363406331">
    <w:abstractNumId w:val="17"/>
  </w:num>
  <w:num w:numId="5" w16cid:durableId="126893729">
    <w:abstractNumId w:val="18"/>
  </w:num>
  <w:num w:numId="6" w16cid:durableId="70498655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9006162">
    <w:abstractNumId w:val="24"/>
  </w:num>
  <w:num w:numId="8" w16cid:durableId="197861272">
    <w:abstractNumId w:val="21"/>
  </w:num>
  <w:num w:numId="9" w16cid:durableId="15757776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3121738">
    <w:abstractNumId w:val="16"/>
  </w:num>
  <w:num w:numId="11" w16cid:durableId="1373536177">
    <w:abstractNumId w:val="15"/>
  </w:num>
  <w:num w:numId="12" w16cid:durableId="1550144491">
    <w:abstractNumId w:val="10"/>
  </w:num>
  <w:num w:numId="13" w16cid:durableId="2109690295">
    <w:abstractNumId w:val="9"/>
  </w:num>
  <w:num w:numId="14" w16cid:durableId="287056705">
    <w:abstractNumId w:val="7"/>
  </w:num>
  <w:num w:numId="15" w16cid:durableId="627736209">
    <w:abstractNumId w:val="6"/>
  </w:num>
  <w:num w:numId="16" w16cid:durableId="717054365">
    <w:abstractNumId w:val="5"/>
  </w:num>
  <w:num w:numId="17" w16cid:durableId="526066233">
    <w:abstractNumId w:val="4"/>
  </w:num>
  <w:num w:numId="18" w16cid:durableId="1839036109">
    <w:abstractNumId w:val="8"/>
  </w:num>
  <w:num w:numId="19" w16cid:durableId="1512257851">
    <w:abstractNumId w:val="3"/>
  </w:num>
  <w:num w:numId="20" w16cid:durableId="182981499">
    <w:abstractNumId w:val="2"/>
  </w:num>
  <w:num w:numId="21" w16cid:durableId="144703781">
    <w:abstractNumId w:val="1"/>
  </w:num>
  <w:num w:numId="22" w16cid:durableId="368338761">
    <w:abstractNumId w:val="0"/>
  </w:num>
  <w:num w:numId="23" w16cid:durableId="774012772">
    <w:abstractNumId w:val="19"/>
  </w:num>
  <w:num w:numId="24" w16cid:durableId="1558543969">
    <w:abstractNumId w:val="26"/>
  </w:num>
  <w:num w:numId="25" w16cid:durableId="1869290906">
    <w:abstractNumId w:val="20"/>
  </w:num>
  <w:num w:numId="26" w16cid:durableId="639116464">
    <w:abstractNumId w:val="13"/>
  </w:num>
  <w:num w:numId="27" w16cid:durableId="177890263">
    <w:abstractNumId w:val="11"/>
  </w:num>
  <w:num w:numId="28" w16cid:durableId="1026518368">
    <w:abstractNumId w:val="22"/>
  </w:num>
  <w:num w:numId="29" w16cid:durableId="691686613">
    <w:abstractNumId w:val="23"/>
  </w:num>
  <w:num w:numId="30" w16cid:durableId="11015353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33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4ADD"/>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3DE3"/>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9C7"/>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5C2C"/>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13B"/>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8EA"/>
    <w:rsid w:val="001C5A81"/>
    <w:rsid w:val="001C5C5D"/>
    <w:rsid w:val="001C5E43"/>
    <w:rsid w:val="001C68EC"/>
    <w:rsid w:val="001C732E"/>
    <w:rsid w:val="001C76D9"/>
    <w:rsid w:val="001C7905"/>
    <w:rsid w:val="001D0953"/>
    <w:rsid w:val="001D0DD4"/>
    <w:rsid w:val="001D1A08"/>
    <w:rsid w:val="001D2702"/>
    <w:rsid w:val="001D2A03"/>
    <w:rsid w:val="001D2B08"/>
    <w:rsid w:val="001D2C30"/>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90D"/>
    <w:rsid w:val="00215CE8"/>
    <w:rsid w:val="00215EE4"/>
    <w:rsid w:val="00216086"/>
    <w:rsid w:val="00216740"/>
    <w:rsid w:val="0021686D"/>
    <w:rsid w:val="00217163"/>
    <w:rsid w:val="00217DC9"/>
    <w:rsid w:val="00217F25"/>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57DFD"/>
    <w:rsid w:val="002600BF"/>
    <w:rsid w:val="00260215"/>
    <w:rsid w:val="00260905"/>
    <w:rsid w:val="00261568"/>
    <w:rsid w:val="00263BB9"/>
    <w:rsid w:val="0026478B"/>
    <w:rsid w:val="0026638C"/>
    <w:rsid w:val="002665AB"/>
    <w:rsid w:val="00266C70"/>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172D"/>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AD2"/>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1D94"/>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4F58"/>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0865"/>
    <w:rsid w:val="004815E9"/>
    <w:rsid w:val="00481C92"/>
    <w:rsid w:val="00482BA6"/>
    <w:rsid w:val="00482EBB"/>
    <w:rsid w:val="00484342"/>
    <w:rsid w:val="00484473"/>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50D6"/>
    <w:rsid w:val="004F5853"/>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D1"/>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B6A"/>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5E97"/>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4B6"/>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C8"/>
    <w:rsid w:val="00622CF0"/>
    <w:rsid w:val="006242A5"/>
    <w:rsid w:val="0062492E"/>
    <w:rsid w:val="00624F46"/>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5A59"/>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12F"/>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9EB"/>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76CBF"/>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5DD0"/>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9EF"/>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0F42"/>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345"/>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67A8"/>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0D0"/>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1CA6"/>
    <w:rsid w:val="008C2243"/>
    <w:rsid w:val="008C27CD"/>
    <w:rsid w:val="008C2ECF"/>
    <w:rsid w:val="008C3470"/>
    <w:rsid w:val="008C3493"/>
    <w:rsid w:val="008C403F"/>
    <w:rsid w:val="008C4A28"/>
    <w:rsid w:val="008C4BA7"/>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3E95"/>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4FE7"/>
    <w:rsid w:val="008F5505"/>
    <w:rsid w:val="008F5D86"/>
    <w:rsid w:val="008F64B6"/>
    <w:rsid w:val="008F6AE9"/>
    <w:rsid w:val="008F78C9"/>
    <w:rsid w:val="0090067E"/>
    <w:rsid w:val="00901606"/>
    <w:rsid w:val="00901FA4"/>
    <w:rsid w:val="00902F71"/>
    <w:rsid w:val="00903791"/>
    <w:rsid w:val="00903835"/>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2783"/>
    <w:rsid w:val="00933EC8"/>
    <w:rsid w:val="00934015"/>
    <w:rsid w:val="00934396"/>
    <w:rsid w:val="00934CC9"/>
    <w:rsid w:val="00935041"/>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034E"/>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6F"/>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2A9"/>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3D09"/>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032"/>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281"/>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62E"/>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0D9"/>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940"/>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16A"/>
    <w:rsid w:val="00C91C88"/>
    <w:rsid w:val="00C91CD3"/>
    <w:rsid w:val="00C92024"/>
    <w:rsid w:val="00C939F8"/>
    <w:rsid w:val="00C94B53"/>
    <w:rsid w:val="00C95A9F"/>
    <w:rsid w:val="00C95D01"/>
    <w:rsid w:val="00C96FB4"/>
    <w:rsid w:val="00C97918"/>
    <w:rsid w:val="00CA0028"/>
    <w:rsid w:val="00CA006C"/>
    <w:rsid w:val="00CA0E58"/>
    <w:rsid w:val="00CA1F89"/>
    <w:rsid w:val="00CA2953"/>
    <w:rsid w:val="00CA29B6"/>
    <w:rsid w:val="00CA2E15"/>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0E81"/>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4627"/>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50A"/>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1E"/>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5C"/>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0BEE"/>
    <w:rsid w:val="00E31886"/>
    <w:rsid w:val="00E31ACD"/>
    <w:rsid w:val="00E31C6C"/>
    <w:rsid w:val="00E375C9"/>
    <w:rsid w:val="00E40F88"/>
    <w:rsid w:val="00E40FCD"/>
    <w:rsid w:val="00E41407"/>
    <w:rsid w:val="00E415A4"/>
    <w:rsid w:val="00E42D27"/>
    <w:rsid w:val="00E43938"/>
    <w:rsid w:val="00E439FA"/>
    <w:rsid w:val="00E43C68"/>
    <w:rsid w:val="00E4554E"/>
    <w:rsid w:val="00E45AA2"/>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C70"/>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515"/>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52C"/>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34"/>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50A1"/>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3C45"/>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0E16"/>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4D8E3"/>
  <w15:docId w15:val="{BFE84D02-46DE-3D4A-8A18-D6E7696C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932783"/>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F93C45"/>
    <w:rPr>
      <w:color w:val="605E5C"/>
      <w:shd w:val="clear" w:color="auto" w:fill="E1DFDD"/>
    </w:rPr>
  </w:style>
  <w:style w:type="character" w:customStyle="1" w:styleId="50">
    <w:name w:val="Заголовок 5 Знак"/>
    <w:link w:val="5"/>
    <w:semiHidden/>
    <w:rsid w:val="00932783"/>
    <w:rPr>
      <w:rFonts w:ascii="Calibri" w:eastAsia="Times New Roman" w:hAnsi="Calibri" w:cs="Times New Roman"/>
      <w:b/>
      <w:bCs/>
      <w:i/>
      <w:iCs/>
      <w:sz w:val="26"/>
      <w:szCs w:val="26"/>
    </w:rPr>
  </w:style>
  <w:style w:type="paragraph" w:customStyle="1" w:styleId="media-contentdescription">
    <w:name w:val="media-content__description"/>
    <w:basedOn w:val="a"/>
    <w:rsid w:val="00807345"/>
    <w:pPr>
      <w:spacing w:before="100" w:beforeAutospacing="1" w:after="100" w:afterAutospacing="1"/>
      <w:jc w:val="left"/>
    </w:pPr>
    <w:rPr>
      <w:lang w:eastAsia="en-GB"/>
    </w:rPr>
  </w:style>
  <w:style w:type="paragraph" w:customStyle="1" w:styleId="author">
    <w:name w:val="author"/>
    <w:basedOn w:val="a"/>
    <w:rsid w:val="00807345"/>
    <w:pPr>
      <w:spacing w:before="100" w:beforeAutospacing="1" w:after="100" w:afterAutospacing="1"/>
      <w:jc w:val="left"/>
    </w:pPr>
    <w:rPr>
      <w:lang w:eastAsia="en-GB"/>
    </w:rPr>
  </w:style>
  <w:style w:type="character" w:customStyle="1" w:styleId="smi-ad-mark32086">
    <w:name w:val="smi-ad-mark32086"/>
    <w:basedOn w:val="a0"/>
    <w:rsid w:val="00807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47300">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21419727">
      <w:bodyDiv w:val="1"/>
      <w:marLeft w:val="0"/>
      <w:marRight w:val="0"/>
      <w:marTop w:val="0"/>
      <w:marBottom w:val="0"/>
      <w:divBdr>
        <w:top w:val="none" w:sz="0" w:space="0" w:color="auto"/>
        <w:left w:val="none" w:sz="0" w:space="0" w:color="auto"/>
        <w:bottom w:val="none" w:sz="0" w:space="0" w:color="auto"/>
        <w:right w:val="none" w:sz="0" w:space="0" w:color="auto"/>
      </w:divBdr>
      <w:divsChild>
        <w:div w:id="1263144196">
          <w:marLeft w:val="0"/>
          <w:marRight w:val="0"/>
          <w:marTop w:val="0"/>
          <w:marBottom w:val="0"/>
          <w:divBdr>
            <w:top w:val="none" w:sz="0" w:space="0" w:color="auto"/>
            <w:left w:val="none" w:sz="0" w:space="0" w:color="auto"/>
            <w:bottom w:val="none" w:sz="0" w:space="0" w:color="auto"/>
            <w:right w:val="none" w:sz="0" w:space="0" w:color="auto"/>
          </w:divBdr>
          <w:divsChild>
            <w:div w:id="1584022872">
              <w:marLeft w:val="0"/>
              <w:marRight w:val="0"/>
              <w:marTop w:val="0"/>
              <w:marBottom w:val="0"/>
              <w:divBdr>
                <w:top w:val="none" w:sz="0" w:space="0" w:color="auto"/>
                <w:left w:val="none" w:sz="0" w:space="0" w:color="auto"/>
                <w:bottom w:val="none" w:sz="0" w:space="0" w:color="auto"/>
                <w:right w:val="none" w:sz="0" w:space="0" w:color="auto"/>
              </w:divBdr>
              <w:divsChild>
                <w:div w:id="225801650">
                  <w:marLeft w:val="0"/>
                  <w:marRight w:val="0"/>
                  <w:marTop w:val="0"/>
                  <w:marBottom w:val="0"/>
                  <w:divBdr>
                    <w:top w:val="none" w:sz="0" w:space="0" w:color="auto"/>
                    <w:left w:val="none" w:sz="0" w:space="0" w:color="auto"/>
                    <w:bottom w:val="none" w:sz="0" w:space="0" w:color="auto"/>
                    <w:right w:val="none" w:sz="0" w:space="0" w:color="auto"/>
                  </w:divBdr>
                  <w:divsChild>
                    <w:div w:id="1008600328">
                      <w:marLeft w:val="0"/>
                      <w:marRight w:val="0"/>
                      <w:marTop w:val="0"/>
                      <w:marBottom w:val="0"/>
                      <w:divBdr>
                        <w:top w:val="none" w:sz="0" w:space="0" w:color="auto"/>
                        <w:left w:val="none" w:sz="0" w:space="0" w:color="auto"/>
                        <w:bottom w:val="none" w:sz="0" w:space="0" w:color="auto"/>
                        <w:right w:val="none" w:sz="0" w:space="0" w:color="auto"/>
                      </w:divBdr>
                      <w:divsChild>
                        <w:div w:id="98654443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933276496">
          <w:marLeft w:val="0"/>
          <w:marRight w:val="0"/>
          <w:marTop w:val="0"/>
          <w:marBottom w:val="0"/>
          <w:divBdr>
            <w:top w:val="none" w:sz="0" w:space="0" w:color="auto"/>
            <w:left w:val="none" w:sz="0" w:space="0" w:color="auto"/>
            <w:bottom w:val="none" w:sz="0" w:space="0" w:color="auto"/>
            <w:right w:val="none" w:sz="0" w:space="0" w:color="auto"/>
          </w:divBdr>
          <w:divsChild>
            <w:div w:id="993602226">
              <w:marLeft w:val="0"/>
              <w:marRight w:val="0"/>
              <w:marTop w:val="0"/>
              <w:marBottom w:val="0"/>
              <w:divBdr>
                <w:top w:val="none" w:sz="0" w:space="0" w:color="auto"/>
                <w:left w:val="none" w:sz="0" w:space="0" w:color="auto"/>
                <w:bottom w:val="none" w:sz="0" w:space="0" w:color="auto"/>
                <w:right w:val="none" w:sz="0" w:space="0" w:color="auto"/>
              </w:divBdr>
              <w:divsChild>
                <w:div w:id="2045521034">
                  <w:marLeft w:val="0"/>
                  <w:marRight w:val="0"/>
                  <w:marTop w:val="0"/>
                  <w:marBottom w:val="0"/>
                  <w:divBdr>
                    <w:top w:val="none" w:sz="0" w:space="0" w:color="auto"/>
                    <w:left w:val="none" w:sz="0" w:space="0" w:color="auto"/>
                    <w:bottom w:val="none" w:sz="0" w:space="0" w:color="auto"/>
                    <w:right w:val="none" w:sz="0" w:space="0" w:color="auto"/>
                  </w:divBdr>
                  <w:divsChild>
                    <w:div w:id="1869416655">
                      <w:marLeft w:val="0"/>
                      <w:marRight w:val="0"/>
                      <w:marTop w:val="0"/>
                      <w:marBottom w:val="0"/>
                      <w:divBdr>
                        <w:top w:val="none" w:sz="0" w:space="0" w:color="auto"/>
                        <w:left w:val="none" w:sz="0" w:space="0" w:color="auto"/>
                        <w:bottom w:val="none" w:sz="0" w:space="0" w:color="auto"/>
                        <w:right w:val="none" w:sz="0" w:space="0" w:color="auto"/>
                      </w:divBdr>
                      <w:divsChild>
                        <w:div w:id="191118713">
                          <w:marLeft w:val="0"/>
                          <w:marRight w:val="0"/>
                          <w:marTop w:val="0"/>
                          <w:marBottom w:val="0"/>
                          <w:divBdr>
                            <w:top w:val="none" w:sz="0" w:space="0" w:color="auto"/>
                            <w:left w:val="none" w:sz="0" w:space="0" w:color="auto"/>
                            <w:bottom w:val="none" w:sz="0" w:space="0" w:color="auto"/>
                            <w:right w:val="none" w:sz="0" w:space="0" w:color="auto"/>
                          </w:divBdr>
                          <w:divsChild>
                            <w:div w:id="1927036486">
                              <w:marLeft w:val="0"/>
                              <w:marRight w:val="0"/>
                              <w:marTop w:val="0"/>
                              <w:marBottom w:val="900"/>
                              <w:divBdr>
                                <w:top w:val="none" w:sz="0" w:space="0" w:color="auto"/>
                                <w:left w:val="none" w:sz="0" w:space="0" w:color="auto"/>
                                <w:bottom w:val="none" w:sz="0" w:space="0" w:color="auto"/>
                                <w:right w:val="none" w:sz="0" w:space="0" w:color="auto"/>
                              </w:divBdr>
                              <w:divsChild>
                                <w:div w:id="1164247386">
                                  <w:marLeft w:val="0"/>
                                  <w:marRight w:val="0"/>
                                  <w:marTop w:val="0"/>
                                  <w:marBottom w:val="0"/>
                                  <w:divBdr>
                                    <w:top w:val="none" w:sz="0" w:space="0" w:color="auto"/>
                                    <w:left w:val="none" w:sz="0" w:space="0" w:color="auto"/>
                                    <w:bottom w:val="none" w:sz="0" w:space="0" w:color="auto"/>
                                    <w:right w:val="none" w:sz="0" w:space="0" w:color="auto"/>
                                  </w:divBdr>
                                  <w:divsChild>
                                    <w:div w:id="223956245">
                                      <w:marLeft w:val="0"/>
                                      <w:marRight w:val="0"/>
                                      <w:marTop w:val="0"/>
                                      <w:marBottom w:val="0"/>
                                      <w:divBdr>
                                        <w:top w:val="none" w:sz="0" w:space="0" w:color="auto"/>
                                        <w:left w:val="none" w:sz="0" w:space="0" w:color="auto"/>
                                        <w:bottom w:val="none" w:sz="0" w:space="0" w:color="auto"/>
                                        <w:right w:val="none" w:sz="0" w:space="0" w:color="auto"/>
                                      </w:divBdr>
                                      <w:divsChild>
                                        <w:div w:id="251747872">
                                          <w:marLeft w:val="0"/>
                                          <w:marRight w:val="0"/>
                                          <w:marTop w:val="0"/>
                                          <w:marBottom w:val="0"/>
                                          <w:divBdr>
                                            <w:top w:val="none" w:sz="0" w:space="0" w:color="auto"/>
                                            <w:left w:val="none" w:sz="0" w:space="0" w:color="auto"/>
                                            <w:bottom w:val="none" w:sz="0" w:space="0" w:color="auto"/>
                                            <w:right w:val="none" w:sz="0" w:space="0" w:color="auto"/>
                                          </w:divBdr>
                                          <w:divsChild>
                                            <w:div w:id="1385831670">
                                              <w:marLeft w:val="0"/>
                                              <w:marRight w:val="0"/>
                                              <w:marTop w:val="0"/>
                                              <w:marBottom w:val="0"/>
                                              <w:divBdr>
                                                <w:top w:val="none" w:sz="0" w:space="0" w:color="auto"/>
                                                <w:left w:val="none" w:sz="0" w:space="0" w:color="auto"/>
                                                <w:bottom w:val="none" w:sz="0" w:space="0" w:color="auto"/>
                                                <w:right w:val="none" w:sz="0" w:space="0" w:color="auto"/>
                                              </w:divBdr>
                                              <w:divsChild>
                                                <w:div w:id="17807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820227">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98120965">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12164096">
      <w:bodyDiv w:val="1"/>
      <w:marLeft w:val="0"/>
      <w:marRight w:val="0"/>
      <w:marTop w:val="0"/>
      <w:marBottom w:val="0"/>
      <w:divBdr>
        <w:top w:val="none" w:sz="0" w:space="0" w:color="auto"/>
        <w:left w:val="none" w:sz="0" w:space="0" w:color="auto"/>
        <w:bottom w:val="none" w:sz="0" w:space="0" w:color="auto"/>
        <w:right w:val="none" w:sz="0" w:space="0" w:color="auto"/>
      </w:divBdr>
      <w:divsChild>
        <w:div w:id="1435323646">
          <w:marLeft w:val="0"/>
          <w:marRight w:val="0"/>
          <w:marTop w:val="0"/>
          <w:marBottom w:val="0"/>
          <w:divBdr>
            <w:top w:val="single" w:sz="2" w:space="0" w:color="auto"/>
            <w:left w:val="single" w:sz="2" w:space="0" w:color="auto"/>
            <w:bottom w:val="single" w:sz="2" w:space="0" w:color="auto"/>
            <w:right w:val="single" w:sz="2" w:space="0" w:color="auto"/>
          </w:divBdr>
          <w:divsChild>
            <w:div w:id="1871451399">
              <w:marLeft w:val="0"/>
              <w:marRight w:val="0"/>
              <w:marTop w:val="0"/>
              <w:marBottom w:val="0"/>
              <w:divBdr>
                <w:top w:val="single" w:sz="2" w:space="0" w:color="auto"/>
                <w:left w:val="single" w:sz="2" w:space="0" w:color="auto"/>
                <w:bottom w:val="single" w:sz="2" w:space="0" w:color="auto"/>
                <w:right w:val="single" w:sz="2" w:space="0" w:color="auto"/>
              </w:divBdr>
              <w:divsChild>
                <w:div w:id="155076245">
                  <w:marLeft w:val="0"/>
                  <w:marRight w:val="0"/>
                  <w:marTop w:val="0"/>
                  <w:marBottom w:val="0"/>
                  <w:divBdr>
                    <w:top w:val="single" w:sz="2" w:space="0" w:color="auto"/>
                    <w:left w:val="single" w:sz="2" w:space="0" w:color="auto"/>
                    <w:bottom w:val="single" w:sz="2" w:space="0" w:color="auto"/>
                    <w:right w:val="single" w:sz="2" w:space="0" w:color="auto"/>
                  </w:divBdr>
                  <w:divsChild>
                    <w:div w:id="1887666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4726138">
              <w:marLeft w:val="0"/>
              <w:marRight w:val="0"/>
              <w:marTop w:val="0"/>
              <w:marBottom w:val="0"/>
              <w:divBdr>
                <w:top w:val="single" w:sz="2" w:space="0" w:color="auto"/>
                <w:left w:val="single" w:sz="2" w:space="0" w:color="auto"/>
                <w:bottom w:val="single" w:sz="2" w:space="0" w:color="auto"/>
                <w:right w:val="single" w:sz="2" w:space="0" w:color="auto"/>
              </w:divBdr>
              <w:divsChild>
                <w:div w:id="1301307676">
                  <w:marLeft w:val="0"/>
                  <w:marRight w:val="0"/>
                  <w:marTop w:val="0"/>
                  <w:marBottom w:val="0"/>
                  <w:divBdr>
                    <w:top w:val="single" w:sz="2" w:space="0" w:color="auto"/>
                    <w:left w:val="single" w:sz="2" w:space="0" w:color="auto"/>
                    <w:bottom w:val="single" w:sz="2" w:space="0" w:color="auto"/>
                    <w:right w:val="single" w:sz="2" w:space="0" w:color="auto"/>
                  </w:divBdr>
                  <w:divsChild>
                    <w:div w:id="1980645973">
                      <w:marLeft w:val="-233"/>
                      <w:marRight w:val="0"/>
                      <w:marTop w:val="180"/>
                      <w:marBottom w:val="180"/>
                      <w:divBdr>
                        <w:top w:val="none" w:sz="0" w:space="0" w:color="auto"/>
                        <w:left w:val="none" w:sz="0" w:space="0" w:color="auto"/>
                        <w:bottom w:val="none" w:sz="0" w:space="0" w:color="auto"/>
                        <w:right w:val="none" w:sz="0" w:space="0" w:color="auto"/>
                      </w:divBdr>
                      <w:divsChild>
                        <w:div w:id="416750026">
                          <w:marLeft w:val="0"/>
                          <w:marRight w:val="0"/>
                          <w:marTop w:val="0"/>
                          <w:marBottom w:val="0"/>
                          <w:divBdr>
                            <w:top w:val="none" w:sz="0" w:space="0" w:color="auto"/>
                            <w:left w:val="none" w:sz="0" w:space="0" w:color="auto"/>
                            <w:bottom w:val="none" w:sz="0" w:space="0" w:color="auto"/>
                            <w:right w:val="none" w:sz="0" w:space="0" w:color="auto"/>
                          </w:divBdr>
                          <w:divsChild>
                            <w:div w:id="1794863156">
                              <w:marLeft w:val="0"/>
                              <w:marRight w:val="0"/>
                              <w:marTop w:val="0"/>
                              <w:marBottom w:val="0"/>
                              <w:divBdr>
                                <w:top w:val="none" w:sz="0" w:space="0" w:color="auto"/>
                                <w:left w:val="none" w:sz="0" w:space="0" w:color="auto"/>
                                <w:bottom w:val="none" w:sz="0" w:space="0" w:color="auto"/>
                                <w:right w:val="none" w:sz="0" w:space="0" w:color="auto"/>
                              </w:divBdr>
                              <w:divsChild>
                                <w:div w:id="1532066220">
                                  <w:marLeft w:val="0"/>
                                  <w:marRight w:val="0"/>
                                  <w:marTop w:val="0"/>
                                  <w:marBottom w:val="0"/>
                                  <w:divBdr>
                                    <w:top w:val="none" w:sz="0" w:space="0" w:color="auto"/>
                                    <w:left w:val="none" w:sz="0" w:space="0" w:color="auto"/>
                                    <w:bottom w:val="none" w:sz="0" w:space="0" w:color="auto"/>
                                    <w:right w:val="none" w:sz="0" w:space="0" w:color="auto"/>
                                  </w:divBdr>
                                  <w:divsChild>
                                    <w:div w:id="1681352055">
                                      <w:marLeft w:val="0"/>
                                      <w:marRight w:val="0"/>
                                      <w:marTop w:val="0"/>
                                      <w:marBottom w:val="60"/>
                                      <w:divBdr>
                                        <w:top w:val="none" w:sz="0" w:space="0" w:color="auto"/>
                                        <w:left w:val="none" w:sz="0" w:space="0" w:color="auto"/>
                                        <w:bottom w:val="none" w:sz="0" w:space="0" w:color="auto"/>
                                        <w:right w:val="none" w:sz="0" w:space="0" w:color="auto"/>
                                      </w:divBdr>
                                    </w:div>
                                    <w:div w:id="788084544">
                                      <w:marLeft w:val="0"/>
                                      <w:marRight w:val="0"/>
                                      <w:marTop w:val="0"/>
                                      <w:marBottom w:val="0"/>
                                      <w:divBdr>
                                        <w:top w:val="none" w:sz="0" w:space="0" w:color="auto"/>
                                        <w:left w:val="none" w:sz="0" w:space="0" w:color="auto"/>
                                        <w:bottom w:val="none" w:sz="0" w:space="0" w:color="auto"/>
                                        <w:right w:val="none" w:sz="0" w:space="0" w:color="auto"/>
                                      </w:divBdr>
                                      <w:divsChild>
                                        <w:div w:id="2107572976">
                                          <w:marLeft w:val="0"/>
                                          <w:marRight w:val="0"/>
                                          <w:marTop w:val="0"/>
                                          <w:marBottom w:val="0"/>
                                          <w:divBdr>
                                            <w:top w:val="none" w:sz="0" w:space="0" w:color="auto"/>
                                            <w:left w:val="none" w:sz="0" w:space="0" w:color="auto"/>
                                            <w:bottom w:val="none" w:sz="0" w:space="0" w:color="auto"/>
                                            <w:right w:val="none" w:sz="0" w:space="0" w:color="auto"/>
                                          </w:divBdr>
                                        </w:div>
                                      </w:divsChild>
                                    </w:div>
                                    <w:div w:id="1623851401">
                                      <w:marLeft w:val="0"/>
                                      <w:marRight w:val="0"/>
                                      <w:marTop w:val="0"/>
                                      <w:marBottom w:val="60"/>
                                      <w:divBdr>
                                        <w:top w:val="none" w:sz="0" w:space="0" w:color="auto"/>
                                        <w:left w:val="none" w:sz="0" w:space="0" w:color="auto"/>
                                        <w:bottom w:val="none" w:sz="0" w:space="0" w:color="auto"/>
                                        <w:right w:val="none" w:sz="0" w:space="0" w:color="auto"/>
                                      </w:divBdr>
                                    </w:div>
                                    <w:div w:id="1340546890">
                                      <w:marLeft w:val="0"/>
                                      <w:marRight w:val="0"/>
                                      <w:marTop w:val="0"/>
                                      <w:marBottom w:val="0"/>
                                      <w:divBdr>
                                        <w:top w:val="none" w:sz="0" w:space="0" w:color="auto"/>
                                        <w:left w:val="none" w:sz="0" w:space="0" w:color="auto"/>
                                        <w:bottom w:val="none" w:sz="0" w:space="0" w:color="auto"/>
                                        <w:right w:val="none" w:sz="0" w:space="0" w:color="auto"/>
                                      </w:divBdr>
                                      <w:divsChild>
                                        <w:div w:id="1245842568">
                                          <w:marLeft w:val="0"/>
                                          <w:marRight w:val="0"/>
                                          <w:marTop w:val="0"/>
                                          <w:marBottom w:val="0"/>
                                          <w:divBdr>
                                            <w:top w:val="none" w:sz="0" w:space="0" w:color="auto"/>
                                            <w:left w:val="none" w:sz="0" w:space="0" w:color="auto"/>
                                            <w:bottom w:val="none" w:sz="0" w:space="0" w:color="auto"/>
                                            <w:right w:val="none" w:sz="0" w:space="0" w:color="auto"/>
                                          </w:divBdr>
                                        </w:div>
                                      </w:divsChild>
                                    </w:div>
                                    <w:div w:id="2055615553">
                                      <w:marLeft w:val="0"/>
                                      <w:marRight w:val="0"/>
                                      <w:marTop w:val="0"/>
                                      <w:marBottom w:val="60"/>
                                      <w:divBdr>
                                        <w:top w:val="none" w:sz="0" w:space="0" w:color="auto"/>
                                        <w:left w:val="none" w:sz="0" w:space="0" w:color="auto"/>
                                        <w:bottom w:val="none" w:sz="0" w:space="0" w:color="auto"/>
                                        <w:right w:val="none" w:sz="0" w:space="0" w:color="auto"/>
                                      </w:divBdr>
                                    </w:div>
                                    <w:div w:id="1858079019">
                                      <w:marLeft w:val="0"/>
                                      <w:marRight w:val="0"/>
                                      <w:marTop w:val="0"/>
                                      <w:marBottom w:val="0"/>
                                      <w:divBdr>
                                        <w:top w:val="none" w:sz="0" w:space="0" w:color="auto"/>
                                        <w:left w:val="none" w:sz="0" w:space="0" w:color="auto"/>
                                        <w:bottom w:val="none" w:sz="0" w:space="0" w:color="auto"/>
                                        <w:right w:val="none" w:sz="0" w:space="0" w:color="auto"/>
                                      </w:divBdr>
                                      <w:divsChild>
                                        <w:div w:id="556285455">
                                          <w:marLeft w:val="0"/>
                                          <w:marRight w:val="0"/>
                                          <w:marTop w:val="0"/>
                                          <w:marBottom w:val="0"/>
                                          <w:divBdr>
                                            <w:top w:val="none" w:sz="0" w:space="0" w:color="auto"/>
                                            <w:left w:val="none" w:sz="0" w:space="0" w:color="auto"/>
                                            <w:bottom w:val="none" w:sz="0" w:space="0" w:color="auto"/>
                                            <w:right w:val="none" w:sz="0" w:space="0" w:color="auto"/>
                                          </w:divBdr>
                                        </w:div>
                                      </w:divsChild>
                                    </w:div>
                                    <w:div w:id="1448154725">
                                      <w:marLeft w:val="0"/>
                                      <w:marRight w:val="0"/>
                                      <w:marTop w:val="0"/>
                                      <w:marBottom w:val="60"/>
                                      <w:divBdr>
                                        <w:top w:val="none" w:sz="0" w:space="0" w:color="auto"/>
                                        <w:left w:val="none" w:sz="0" w:space="0" w:color="auto"/>
                                        <w:bottom w:val="none" w:sz="0" w:space="0" w:color="auto"/>
                                        <w:right w:val="none" w:sz="0" w:space="0" w:color="auto"/>
                                      </w:divBdr>
                                    </w:div>
                                    <w:div w:id="1813206118">
                                      <w:marLeft w:val="0"/>
                                      <w:marRight w:val="0"/>
                                      <w:marTop w:val="0"/>
                                      <w:marBottom w:val="0"/>
                                      <w:divBdr>
                                        <w:top w:val="none" w:sz="0" w:space="0" w:color="auto"/>
                                        <w:left w:val="none" w:sz="0" w:space="0" w:color="auto"/>
                                        <w:bottom w:val="none" w:sz="0" w:space="0" w:color="auto"/>
                                        <w:right w:val="none" w:sz="0" w:space="0" w:color="auto"/>
                                      </w:divBdr>
                                      <w:divsChild>
                                        <w:div w:id="9656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966439">
      <w:bodyDiv w:val="1"/>
      <w:marLeft w:val="0"/>
      <w:marRight w:val="0"/>
      <w:marTop w:val="0"/>
      <w:marBottom w:val="0"/>
      <w:divBdr>
        <w:top w:val="none" w:sz="0" w:space="0" w:color="auto"/>
        <w:left w:val="none" w:sz="0" w:space="0" w:color="auto"/>
        <w:bottom w:val="none" w:sz="0" w:space="0" w:color="auto"/>
        <w:right w:val="none" w:sz="0" w:space="0" w:color="auto"/>
      </w:divBdr>
    </w:div>
    <w:div w:id="1337270867">
      <w:bodyDiv w:val="1"/>
      <w:marLeft w:val="0"/>
      <w:marRight w:val="0"/>
      <w:marTop w:val="0"/>
      <w:marBottom w:val="0"/>
      <w:divBdr>
        <w:top w:val="none" w:sz="0" w:space="0" w:color="auto"/>
        <w:left w:val="none" w:sz="0" w:space="0" w:color="auto"/>
        <w:bottom w:val="none" w:sz="0" w:space="0" w:color="auto"/>
        <w:right w:val="none" w:sz="0" w:space="0" w:color="auto"/>
      </w:divBdr>
      <w:divsChild>
        <w:div w:id="1206865587">
          <w:marLeft w:val="0"/>
          <w:marRight w:val="0"/>
          <w:marTop w:val="0"/>
          <w:marBottom w:val="0"/>
          <w:divBdr>
            <w:top w:val="single" w:sz="2" w:space="0" w:color="auto"/>
            <w:left w:val="single" w:sz="2" w:space="0" w:color="auto"/>
            <w:bottom w:val="single" w:sz="2" w:space="0" w:color="auto"/>
            <w:right w:val="single" w:sz="2"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44369764">
      <w:bodyDiv w:val="1"/>
      <w:marLeft w:val="0"/>
      <w:marRight w:val="0"/>
      <w:marTop w:val="0"/>
      <w:marBottom w:val="0"/>
      <w:divBdr>
        <w:top w:val="none" w:sz="0" w:space="0" w:color="auto"/>
        <w:left w:val="none" w:sz="0" w:space="0" w:color="auto"/>
        <w:bottom w:val="none" w:sz="0" w:space="0" w:color="auto"/>
        <w:right w:val="none" w:sz="0" w:space="0" w:color="auto"/>
      </w:divBdr>
    </w:div>
    <w:div w:id="1591770250">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10954168">
      <w:bodyDiv w:val="1"/>
      <w:marLeft w:val="0"/>
      <w:marRight w:val="0"/>
      <w:marTop w:val="0"/>
      <w:marBottom w:val="0"/>
      <w:divBdr>
        <w:top w:val="none" w:sz="0" w:space="0" w:color="auto"/>
        <w:left w:val="none" w:sz="0" w:space="0" w:color="auto"/>
        <w:bottom w:val="none" w:sz="0" w:space="0" w:color="auto"/>
        <w:right w:val="none" w:sz="0" w:space="0" w:color="auto"/>
      </w:divBdr>
    </w:div>
    <w:div w:id="1818061310">
      <w:bodyDiv w:val="1"/>
      <w:marLeft w:val="0"/>
      <w:marRight w:val="0"/>
      <w:marTop w:val="0"/>
      <w:marBottom w:val="0"/>
      <w:divBdr>
        <w:top w:val="none" w:sz="0" w:space="0" w:color="auto"/>
        <w:left w:val="none" w:sz="0" w:space="0" w:color="auto"/>
        <w:bottom w:val="none" w:sz="0" w:space="0" w:color="auto"/>
        <w:right w:val="none" w:sz="0" w:space="0" w:color="auto"/>
      </w:divBdr>
    </w:div>
    <w:div w:id="1859192072">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if.ru/money/mymoney/kopit-na-pensiyu-avtomatom-da-no-est-nyuansy" TargetMode="External"/><Relationship Id="rId18" Type="http://schemas.openxmlformats.org/officeDocument/2006/relationships/hyperlink" Target="https://kvgazeta.ru/articles/budushhee-pod-zashhitoj-kak-gosudarstvo-umnozhaet-vashi-sberezheniya/" TargetMode="External"/><Relationship Id="rId26" Type="http://schemas.openxmlformats.org/officeDocument/2006/relationships/hyperlink" Target="https://russian.rt.com/russia/news/1498214-senator-epifanova-pensii-pribavka?utm_source=rss&amp;utm_medium=rss&amp;utm_campaign=RSS" TargetMode="External"/><Relationship Id="rId39" Type="http://schemas.openxmlformats.org/officeDocument/2006/relationships/hyperlink" Target="https://www.evening-kazan.ru/ekonomika/articles/tatarstancy-razom-zaberut-pensionnuyu-kopilku" TargetMode="External"/><Relationship Id="rId21" Type="http://schemas.openxmlformats.org/officeDocument/2006/relationships/hyperlink" Target="https://kuban.aif.ru/society/zhiteli-kubani-vlozhili-v-dolgosrochnye-sberezheniya-bolee-7-mlrd-rubley" TargetMode="External"/><Relationship Id="rId34" Type="http://schemas.openxmlformats.org/officeDocument/2006/relationships/hyperlink" Target="https://primpress.ru/article/124115" TargetMode="External"/><Relationship Id="rId42" Type="http://schemas.openxmlformats.org/officeDocument/2006/relationships/hyperlink" Target="https://iz.ru/1910549/olga-anaseva/trudovoj-vozrast-predpensionerov-stali-vdvoe-chashche-zvat-na-rabotu" TargetMode="External"/><Relationship Id="rId47" Type="http://schemas.openxmlformats.org/officeDocument/2006/relationships/hyperlink" Target="https://www.insur-info.ru/press/202375/" TargetMode="External"/><Relationship Id="rId50" Type="http://schemas.openxmlformats.org/officeDocument/2006/relationships/hyperlink" Target="https://msaonline.ru/2025/ehkspert-ob-ustojjchivom-ehkonomicheskom-roste-v-rossii-s1z6/" TargetMode="External"/><Relationship Id="rId55" Type="http://schemas.openxmlformats.org/officeDocument/2006/relationships/hyperlink" Target="https://mk-turkey.ru/economics/2025/06/25/p-v-turcii-86-inostrannyh-investorov-poluchili-tureckoe-grazhdanstvo-po-chastnoj-pensionnoj-programme.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unecha-gazeta.ru/society/2025/06/26/programma-dolgosrochnyh-sberezhenij-stanovitsya-oporoj-finansovoj-stabilnosti-rossiyan/" TargetMode="External"/><Relationship Id="rId29" Type="http://schemas.openxmlformats.org/officeDocument/2006/relationships/hyperlink" Target="https://mosregtoday.ru/news/interesnoe/ne-tolko-po-starosti-kto-v-rossii-mozhet-poluchat-neskolko-pensij-odnovremenno/" TargetMode="External"/><Relationship Id="rId11" Type="http://schemas.openxmlformats.org/officeDocument/2006/relationships/hyperlink" Target="http://pbroker.ru/?p=80379" TargetMode="External"/><Relationship Id="rId24" Type="http://schemas.openxmlformats.org/officeDocument/2006/relationships/hyperlink" Target="https://www.niasam.ru/ekonomika/finansovyj-desant-vysadilsya-na-samarskom-predpriyatii-256185.html" TargetMode="External"/><Relationship Id="rId32" Type="http://schemas.openxmlformats.org/officeDocument/2006/relationships/hyperlink" Target="http://pbroker.ru/?p=80375" TargetMode="External"/><Relationship Id="rId37" Type="http://schemas.openxmlformats.org/officeDocument/2006/relationships/hyperlink" Target="https://www.kleo.ru/items/career/pensiya-avgust-2025-grafik-vyiplat-na-kartu-sberbanka.shtml" TargetMode="External"/><Relationship Id="rId40" Type="http://schemas.openxmlformats.org/officeDocument/2006/relationships/hyperlink" Target="https://www.evening-kazan.ru/obshhestvo/news/tatarstancam-rasskazali-kak-rasschitat-pensiyu-v-2025-godu-" TargetMode="External"/><Relationship Id="rId45" Type="http://schemas.openxmlformats.org/officeDocument/2006/relationships/hyperlink" Target="http://www.finmarket.ru/currency/news/6424732" TargetMode="External"/><Relationship Id="rId53" Type="http://schemas.openxmlformats.org/officeDocument/2006/relationships/hyperlink" Target="https://newshub.uz/articles/v-uzbekistane-otvetili-na-rekomendaciiu-mvf-povysit-pensionnyi-vozrast"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media73.ru/2025/ulyanovtsy-zaklyuchili-okolo-46-tysyach-dogovorov-po-programme-dolgosrochnykh-sberezheniy" TargetMode="External"/><Relationship Id="rId4" Type="http://schemas.openxmlformats.org/officeDocument/2006/relationships/webSettings" Target="webSettings.xml"/><Relationship Id="rId9" Type="http://schemas.openxmlformats.org/officeDocument/2006/relationships/hyperlink" Target="https://pensiya.pro/news/npf-nakopili-bolee-24-mlrd-rublej-investiczionnogo-dohoda-czentrobank/" TargetMode="External"/><Relationship Id="rId14" Type="http://schemas.openxmlformats.org/officeDocument/2006/relationships/hyperlink" Target="https://pensiya.pro/news/tret-finansovo-gramotnyh-rossiyan-ne-planiruyut-uchastvovat-v-programme-dolgosrochnyh-sberezhenij-opros/" TargetMode="External"/><Relationship Id="rId22" Type="http://schemas.openxmlformats.org/officeDocument/2006/relationships/hyperlink" Target="https://www.vest-news.ru/news/1000506403" TargetMode="External"/><Relationship Id="rId27" Type="http://schemas.openxmlformats.org/officeDocument/2006/relationships/hyperlink" Target="https://tass.ru/obschestvo/24358751" TargetMode="External"/><Relationship Id="rId30" Type="http://schemas.openxmlformats.org/officeDocument/2006/relationships/hyperlink" Target="https://mirnov.ru/obshchestvo/vlast-i-zakon/nakopitelnaja-pensija-po-nasledstvu.html" TargetMode="External"/><Relationship Id="rId35" Type="http://schemas.openxmlformats.org/officeDocument/2006/relationships/hyperlink" Target="https://primpress.ru/article/124116" TargetMode="External"/><Relationship Id="rId43" Type="http://schemas.openxmlformats.org/officeDocument/2006/relationships/hyperlink" Target="https://www.rbc.ru/quote/news/article/685d09219a79479801214cdc" TargetMode="External"/><Relationship Id="rId48" Type="http://schemas.openxmlformats.org/officeDocument/2006/relationships/hyperlink" Target="https://www.insur-info.ru/press/202376/" TargetMode="External"/><Relationship Id="rId56" Type="http://schemas.openxmlformats.org/officeDocument/2006/relationships/header" Target="header1.xml"/><Relationship Id="rId8" Type="http://schemas.openxmlformats.org/officeDocument/2006/relationships/hyperlink" Target="https://pensiya.pro/news/stali-izvestny-samye-dohodnye-npf-nachala-2025-goda/" TargetMode="External"/><Relationship Id="rId51" Type="http://schemas.openxmlformats.org/officeDocument/2006/relationships/hyperlink" Target="https://inbusiness.kz/ru/news/inflyaciya-prodolzhaet-sedat-pensii-kazahstancev" TargetMode="External"/><Relationship Id="rId3" Type="http://schemas.openxmlformats.org/officeDocument/2006/relationships/settings" Target="settings.xml"/><Relationship Id="rId12" Type="http://schemas.openxmlformats.org/officeDocument/2006/relationships/hyperlink" Target="https://minfin.gov.ru/ru/press-center/?id_4=39785-podvedeny_itogi_regionalnogo_etapa_vserossiiskogo_semeinogo_festivalya_sberezhenii_i_investitsii" TargetMode="External"/><Relationship Id="rId17" Type="http://schemas.openxmlformats.org/officeDocument/2006/relationships/hyperlink" Target="https://gnkk.ru/news/kak-rabotaet-programma-dolgosrochnykh/" TargetMode="External"/><Relationship Id="rId25" Type="http://schemas.openxmlformats.org/officeDocument/2006/relationships/hyperlink" Target="https://www.pnp.ru/economics/nekotorym-rossiyankam-pereschitayut-pensii-s-2026-goda.html" TargetMode="External"/><Relationship Id="rId33" Type="http://schemas.openxmlformats.org/officeDocument/2006/relationships/hyperlink" Target="https://konkurent.ru/article/78485" TargetMode="External"/><Relationship Id="rId38" Type="http://schemas.openxmlformats.org/officeDocument/2006/relationships/hyperlink" Target="https://www.myeconomy.ru/obshhestvo/v-abhazii-s-1-iyulya-vyrastut-pensii/" TargetMode="External"/><Relationship Id="rId46" Type="http://schemas.openxmlformats.org/officeDocument/2006/relationships/hyperlink" Target="https://www.banki.ru/news/lenta/?category=lenta&amp;id=11015356" TargetMode="External"/><Relationship Id="rId59" Type="http://schemas.openxmlformats.org/officeDocument/2006/relationships/theme" Target="theme/theme1.xml"/><Relationship Id="rId20" Type="http://schemas.openxmlformats.org/officeDocument/2006/relationships/hyperlink" Target="https://kuban.rbc.ru/krasnodar/freenews/685d42f59a794744ebab86db" TargetMode="External"/><Relationship Id="rId41" Type="http://schemas.openxmlformats.org/officeDocument/2006/relationships/hyperlink" Target="https://www.evening-kazan.ru/ekonomika/news/svyshe-3-tysyach-tatarstancev-poluchili-vyplaty-iz-pensionnyh-nakopleniy" TargetMode="External"/><Relationship Id="rId54" Type="http://schemas.openxmlformats.org/officeDocument/2006/relationships/hyperlink" Target="https://pensiya.pro/news/aktery-iz-filmov-marvel-vystupili-protiv-vlozheniya-pensionnyh-deneg-v-nef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ankreal.ru/finansy/9684-uzhe-mozhno-zaprashivat-v-nalogovoj-spravki-o-kolichestve-dogovorov-dolgosrochnyh-sberezhenij-finansy.html" TargetMode="External"/><Relationship Id="rId23" Type="http://schemas.openxmlformats.org/officeDocument/2006/relationships/hyperlink" Target="https://kaspyinfo.ru/news/gorod/107235" TargetMode="External"/><Relationship Id="rId28" Type="http://schemas.openxmlformats.org/officeDocument/2006/relationships/hyperlink" Target="https://ruinformer.com/page/s-2026-goda-rossijankam-pereschitajut-pensii-no-ne-vsem" TargetMode="External"/><Relationship Id="rId36" Type="http://schemas.openxmlformats.org/officeDocument/2006/relationships/hyperlink" Target="https://life.ru/p/1765040" TargetMode="External"/><Relationship Id="rId49" Type="http://schemas.openxmlformats.org/officeDocument/2006/relationships/hyperlink" Target="https://pensiya.pro/kak-kopit-s-inostrannymi-czennymi-bumagami-v-2025-godu-polnaya-instrukcziya/" TargetMode="External"/><Relationship Id="rId57" Type="http://schemas.openxmlformats.org/officeDocument/2006/relationships/footer" Target="footer1.xml"/><Relationship Id="rId10" Type="http://schemas.openxmlformats.org/officeDocument/2006/relationships/hyperlink" Target="https://www.akm.ru/press/kolichestvo_polzovateley_lichnogo_kabineta_npf_blagosostoyanie_dostiglo_480_000_chelovek/" TargetMode="External"/><Relationship Id="rId31" Type="http://schemas.openxmlformats.org/officeDocument/2006/relationships/hyperlink" Target="https://viralife.ru/nakopitelnaya-pensiya-po-nasledstvu/" TargetMode="External"/><Relationship Id="rId44" Type="http://schemas.openxmlformats.org/officeDocument/2006/relationships/hyperlink" Target="http://www.finmarket.ru/analytics/6424756" TargetMode="External"/><Relationship Id="rId52" Type="http://schemas.openxmlformats.org/officeDocument/2006/relationships/hyperlink" Target="https://darakchi.uz/ru/2020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105</Pages>
  <Words>43788</Words>
  <Characters>249594</Characters>
  <Application>Microsoft Office Word</Application>
  <DocSecurity>0</DocSecurity>
  <Lines>2079</Lines>
  <Paragraphs>585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292797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2025-06-27T04:31:00Z</cp:lastPrinted>
  <dcterms:created xsi:type="dcterms:W3CDTF">2025-06-27T04:31:00Z</dcterms:created>
  <dcterms:modified xsi:type="dcterms:W3CDTF">2025-06-27T04:33:00Z</dcterms:modified>
  <cp:category>НАПФ</cp:category>
  <cp:contentStatus>И-Консалтинг</cp:contentStatus>
</cp:coreProperties>
</file>